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830F71" w:rsidRDefault="00830F71" w:rsidP="00830F71">
      <w:pPr>
        <w:spacing w:after="0"/>
        <w:jc w:val="both"/>
        <w:rPr>
          <w:sz w:val="24"/>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1519EF">
        <w:rPr>
          <w:rFonts w:asciiTheme="minorHAnsi" w:hAnsiTheme="minorHAnsi" w:cstheme="minorHAnsi"/>
          <w:b/>
          <w:sz w:val="24"/>
          <w:szCs w:val="22"/>
        </w:rPr>
        <w:t>30 October</w:t>
      </w:r>
      <w:r w:rsidR="005023F1">
        <w:rPr>
          <w:rFonts w:asciiTheme="minorHAnsi" w:hAnsiTheme="minorHAnsi" w:cstheme="minorHAnsi"/>
          <w:b/>
          <w:sz w:val="24"/>
          <w:szCs w:val="22"/>
        </w:rPr>
        <w:t xml:space="preserve"> 2014</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 xml:space="preserve">Capacity of Livelihood Institution including Microfinance </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Implementing Partner</w:t>
      </w:r>
      <w:r w:rsidR="005023F1">
        <w:rPr>
          <w:rFonts w:asciiTheme="minorHAnsi" w:hAnsiTheme="minorHAnsi" w:cstheme="minorHAnsi"/>
          <w:b/>
          <w:sz w:val="24"/>
          <w:szCs w:val="22"/>
        </w:rPr>
        <w:t>s</w:t>
      </w:r>
      <w:r w:rsidRPr="00830F71">
        <w:rPr>
          <w:rFonts w:asciiTheme="minorHAnsi" w:hAnsiTheme="minorHAnsi" w:cstheme="minorHAnsi"/>
          <w:b/>
          <w:sz w:val="24"/>
          <w:szCs w:val="22"/>
        </w:rPr>
        <w:t>:</w:t>
      </w:r>
      <w:r w:rsidR="006326EA">
        <w:rPr>
          <w:rFonts w:asciiTheme="minorHAnsi" w:hAnsiTheme="minorHAnsi" w:cstheme="minorHAnsi"/>
          <w:b/>
          <w:sz w:val="24"/>
          <w:szCs w:val="22"/>
        </w:rPr>
        <w:tab/>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6326EA">
        <w:rPr>
          <w:rFonts w:asciiTheme="minorHAnsi" w:hAnsiTheme="minorHAnsi" w:cstheme="minorHAnsi"/>
          <w:b/>
          <w:sz w:val="24"/>
          <w:szCs w:val="22"/>
        </w:rPr>
        <w:tab/>
      </w:r>
      <w:r w:rsidR="006326EA">
        <w:rPr>
          <w:rFonts w:asciiTheme="minorHAnsi" w:hAnsiTheme="minorHAnsi" w:cstheme="minorHAnsi"/>
          <w:b/>
          <w:sz w:val="24"/>
          <w:szCs w:val="22"/>
        </w:rPr>
        <w:tab/>
        <w:t>J</w:t>
      </w:r>
      <w:r w:rsidR="005023F1">
        <w:rPr>
          <w:rFonts w:asciiTheme="minorHAnsi" w:hAnsiTheme="minorHAnsi" w:cstheme="minorHAnsi"/>
          <w:b/>
          <w:sz w:val="24"/>
          <w:szCs w:val="22"/>
        </w:rPr>
        <w:t>ul</w:t>
      </w:r>
      <w:r w:rsidR="006326EA">
        <w:rPr>
          <w:rFonts w:asciiTheme="minorHAnsi" w:hAnsiTheme="minorHAnsi" w:cstheme="minorHAnsi"/>
          <w:b/>
          <w:sz w:val="24"/>
          <w:szCs w:val="22"/>
        </w:rPr>
        <w:t xml:space="preserve"> – </w:t>
      </w:r>
      <w:r w:rsidR="00AA40F7">
        <w:rPr>
          <w:rFonts w:asciiTheme="minorHAnsi" w:hAnsiTheme="minorHAnsi" w:cstheme="minorHAnsi"/>
          <w:b/>
          <w:sz w:val="24"/>
          <w:szCs w:val="22"/>
        </w:rPr>
        <w:t>Sep</w:t>
      </w:r>
      <w:r w:rsidR="006326EA">
        <w:rPr>
          <w:rFonts w:asciiTheme="minorHAnsi" w:hAnsiTheme="minorHAnsi" w:cstheme="minorHAnsi"/>
          <w:b/>
          <w:sz w:val="24"/>
          <w:szCs w:val="22"/>
        </w:rPr>
        <w:t xml:space="preserve"> 2013</w:t>
      </w:r>
    </w:p>
    <w:p w:rsidR="00830F71" w:rsidRPr="00830F71" w:rsidRDefault="00830F71" w:rsidP="00830F71">
      <w:pPr>
        <w:spacing w:after="0"/>
        <w:jc w:val="both"/>
        <w:rPr>
          <w:rFonts w:cstheme="minorHAnsi"/>
          <w:sz w:val="24"/>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logs</w:t>
      </w:r>
      <w:r w:rsidRPr="00830F71">
        <w:rPr>
          <w:rFonts w:cstheme="minorHAnsi"/>
          <w:b/>
          <w:sz w:val="24"/>
          <w:u w:val="single"/>
        </w:rPr>
        <w:t>:</w:t>
      </w:r>
    </w:p>
    <w:p w:rsidR="00384FFC" w:rsidRPr="00830F71" w:rsidRDefault="00384FFC" w:rsidP="00830F71">
      <w:pPr>
        <w:spacing w:after="0"/>
        <w:jc w:val="both"/>
        <w:rPr>
          <w:rFonts w:cstheme="minorHAnsi"/>
          <w:sz w:val="24"/>
        </w:rPr>
      </w:pPr>
    </w:p>
    <w:p w:rsidR="00830F71" w:rsidRPr="00384FFC" w:rsidRDefault="00384FFC" w:rsidP="00830F71">
      <w:pPr>
        <w:spacing w:after="0"/>
        <w:jc w:val="both"/>
        <w:rPr>
          <w:rFonts w:cstheme="minorHAnsi"/>
          <w:sz w:val="24"/>
          <w:u w:val="single"/>
        </w:rPr>
      </w:pPr>
      <w:r>
        <w:rPr>
          <w:rFonts w:cstheme="minorHAnsi"/>
          <w:sz w:val="24"/>
        </w:rPr>
        <w:tab/>
      </w:r>
      <w:r w:rsidRPr="00384FFC">
        <w:rPr>
          <w:rFonts w:cstheme="minorHAnsi"/>
          <w:sz w:val="24"/>
          <w:u w:val="single"/>
        </w:rPr>
        <w:t>Project Risk log</w:t>
      </w:r>
      <w:r w:rsidRPr="00384FFC">
        <w:rPr>
          <w:rFonts w:cstheme="minorHAnsi"/>
          <w:sz w:val="24"/>
        </w:rPr>
        <w:t xml:space="preserve">: </w:t>
      </w:r>
      <w:r w:rsidRPr="00384FFC">
        <w:rPr>
          <w:rFonts w:cstheme="minorHAnsi"/>
          <w:i/>
        </w:rPr>
        <w:t xml:space="preserve">Please integrate the latest project risk log (from previous quarter </w:t>
      </w:r>
      <w:r>
        <w:rPr>
          <w:rFonts w:cstheme="minorHAnsi"/>
          <w:i/>
        </w:rPr>
        <w:t xml:space="preserve">or </w:t>
      </w:r>
      <w:r w:rsidR="00D076DD">
        <w:rPr>
          <w:rFonts w:cstheme="minorHAnsi"/>
          <w:i/>
        </w:rPr>
        <w:t xml:space="preserve">original </w:t>
      </w:r>
      <w:r w:rsidRPr="00384FFC">
        <w:rPr>
          <w:rFonts w:cstheme="minorHAnsi"/>
          <w:i/>
        </w:rPr>
        <w:t xml:space="preserve">project risk log </w:t>
      </w:r>
      <w:r>
        <w:rPr>
          <w:rFonts w:cstheme="minorHAnsi"/>
          <w:i/>
        </w:rPr>
        <w:t>if this is the first QPR for the project</w:t>
      </w:r>
      <w:r w:rsidRPr="00384FFC">
        <w:rPr>
          <w:rFonts w:cstheme="minorHAnsi"/>
          <w:i/>
        </w:rPr>
        <w:t>) and update as relevant</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832"/>
        <w:gridCol w:w="2752"/>
        <w:gridCol w:w="1980"/>
        <w:gridCol w:w="1260"/>
        <w:gridCol w:w="1260"/>
        <w:gridCol w:w="1260"/>
        <w:gridCol w:w="1404"/>
      </w:tblGrid>
      <w:tr w:rsidR="00830F71" w:rsidRPr="00A44EC7" w:rsidTr="00523E87">
        <w:trPr>
          <w:tblHeade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748"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1832"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752"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830F71">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404"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015103" w:rsidRPr="00A44EC7" w:rsidTr="00523E87">
        <w:trPr>
          <w:jc w:val="center"/>
        </w:trPr>
        <w:tc>
          <w:tcPr>
            <w:tcW w:w="372" w:type="dxa"/>
          </w:tcPr>
          <w:p w:rsidR="00015103" w:rsidRPr="004D2095" w:rsidRDefault="00015103" w:rsidP="00015103">
            <w:pPr>
              <w:spacing w:after="0"/>
              <w:rPr>
                <w:rFonts w:cs="Arial"/>
                <w:sz w:val="20"/>
                <w:szCs w:val="20"/>
              </w:rPr>
            </w:pPr>
            <w:r w:rsidRPr="004D2095">
              <w:rPr>
                <w:rFonts w:cs="Arial"/>
                <w:sz w:val="20"/>
                <w:szCs w:val="20"/>
              </w:rPr>
              <w:t>1</w:t>
            </w:r>
          </w:p>
        </w:tc>
        <w:tc>
          <w:tcPr>
            <w:tcW w:w="1748" w:type="dxa"/>
          </w:tcPr>
          <w:p w:rsidR="00015103" w:rsidRPr="00B75733" w:rsidRDefault="00015103" w:rsidP="00015103">
            <w:pPr>
              <w:spacing w:after="0"/>
              <w:rPr>
                <w:rFonts w:cs="Arial"/>
                <w:sz w:val="20"/>
                <w:szCs w:val="20"/>
              </w:rPr>
            </w:pPr>
            <w:r w:rsidRPr="00B75733">
              <w:rPr>
                <w:rFonts w:cs="Arial"/>
                <w:b/>
                <w:sz w:val="20"/>
                <w:szCs w:val="20"/>
              </w:rPr>
              <w:t>Government counterpart does not accept transition proposal</w:t>
            </w:r>
          </w:p>
        </w:tc>
        <w:tc>
          <w:tcPr>
            <w:tcW w:w="1260" w:type="dxa"/>
          </w:tcPr>
          <w:p w:rsidR="00015103" w:rsidRDefault="00015103" w:rsidP="00015103">
            <w:pPr>
              <w:spacing w:after="0"/>
              <w:rPr>
                <w:rFonts w:cs="Arial"/>
                <w:sz w:val="20"/>
                <w:szCs w:val="20"/>
              </w:rPr>
            </w:pPr>
            <w:r>
              <w:rPr>
                <w:rFonts w:cs="Arial"/>
                <w:sz w:val="20"/>
                <w:szCs w:val="20"/>
              </w:rPr>
              <w:t>February 2013</w:t>
            </w:r>
          </w:p>
          <w:p w:rsidR="00015103" w:rsidRPr="007C6B32" w:rsidRDefault="00015103" w:rsidP="00015103">
            <w:pPr>
              <w:spacing w:after="0"/>
              <w:rPr>
                <w:rFonts w:cs="Arial"/>
                <w:i/>
                <w:sz w:val="20"/>
                <w:szCs w:val="20"/>
              </w:rPr>
            </w:pPr>
          </w:p>
        </w:tc>
        <w:tc>
          <w:tcPr>
            <w:tcW w:w="1832" w:type="dxa"/>
          </w:tcPr>
          <w:p w:rsidR="00015103" w:rsidRPr="006171A3" w:rsidRDefault="00015103" w:rsidP="00015103">
            <w:pPr>
              <w:spacing w:after="0"/>
              <w:rPr>
                <w:rFonts w:cs="Arial"/>
                <w:sz w:val="20"/>
                <w:szCs w:val="20"/>
              </w:rPr>
            </w:pPr>
            <w:r w:rsidRPr="006171A3">
              <w:rPr>
                <w:rFonts w:cs="Arial"/>
                <w:sz w:val="20"/>
                <w:szCs w:val="20"/>
              </w:rPr>
              <w:t>Political/Strategic</w:t>
            </w:r>
          </w:p>
        </w:tc>
        <w:tc>
          <w:tcPr>
            <w:tcW w:w="2752" w:type="dxa"/>
          </w:tcPr>
          <w:p w:rsidR="00015103" w:rsidRPr="004D2095" w:rsidRDefault="00015103" w:rsidP="00015103">
            <w:pPr>
              <w:spacing w:after="0"/>
              <w:rPr>
                <w:rFonts w:cs="Arial"/>
                <w:sz w:val="20"/>
                <w:szCs w:val="20"/>
              </w:rPr>
            </w:pPr>
            <w:r>
              <w:rPr>
                <w:rFonts w:cs="Arial"/>
                <w:sz w:val="20"/>
                <w:szCs w:val="20"/>
              </w:rPr>
              <w:t>Acceptance of the transition proposal by the g</w:t>
            </w:r>
            <w:r w:rsidRPr="00173920">
              <w:rPr>
                <w:rFonts w:cs="Arial"/>
                <w:sz w:val="20"/>
                <w:szCs w:val="20"/>
              </w:rPr>
              <w:t>overnment counterpart</w:t>
            </w:r>
            <w:r>
              <w:rPr>
                <w:rFonts w:cs="Arial"/>
                <w:sz w:val="20"/>
                <w:szCs w:val="20"/>
              </w:rPr>
              <w:t xml:space="preserve"> is a major prerequisite for finalizing the transition and if not obtained can lead to serious delays and have potential wider effects on UNDP </w:t>
            </w:r>
            <w:proofErr w:type="spellStart"/>
            <w:r>
              <w:rPr>
                <w:rFonts w:cs="Arial"/>
                <w:sz w:val="20"/>
                <w:szCs w:val="20"/>
              </w:rPr>
              <w:t>programmes</w:t>
            </w:r>
            <w:proofErr w:type="spellEnd"/>
          </w:p>
          <w:p w:rsidR="00015103" w:rsidRDefault="00015103" w:rsidP="00015103">
            <w:pPr>
              <w:spacing w:after="0"/>
              <w:rPr>
                <w:rFonts w:cs="Arial"/>
                <w:sz w:val="20"/>
                <w:szCs w:val="20"/>
              </w:rPr>
            </w:pPr>
            <w:r w:rsidRPr="004D2095">
              <w:rPr>
                <w:rFonts w:cs="Arial"/>
                <w:sz w:val="20"/>
                <w:szCs w:val="20"/>
              </w:rPr>
              <w:t xml:space="preserve">P = </w:t>
            </w:r>
            <w:r>
              <w:rPr>
                <w:rFonts w:cs="Arial"/>
                <w:sz w:val="20"/>
                <w:szCs w:val="20"/>
              </w:rPr>
              <w:t>3</w:t>
            </w:r>
          </w:p>
          <w:p w:rsidR="00015103" w:rsidRPr="00173920" w:rsidRDefault="00015103" w:rsidP="00015103">
            <w:pPr>
              <w:spacing w:after="0"/>
              <w:rPr>
                <w:rFonts w:cs="Arial"/>
                <w:sz w:val="20"/>
                <w:szCs w:val="20"/>
              </w:rPr>
            </w:pPr>
            <w:r>
              <w:rPr>
                <w:rFonts w:cs="Arial"/>
                <w:sz w:val="20"/>
                <w:szCs w:val="20"/>
              </w:rPr>
              <w:t>I</w:t>
            </w:r>
            <w:r w:rsidRPr="00E31945">
              <w:rPr>
                <w:rFonts w:cs="Arial"/>
                <w:sz w:val="20"/>
                <w:szCs w:val="20"/>
              </w:rPr>
              <w:t xml:space="preserve"> =</w:t>
            </w:r>
            <w:r>
              <w:rPr>
                <w:rFonts w:cs="Arial"/>
                <w:sz w:val="20"/>
                <w:szCs w:val="20"/>
              </w:rPr>
              <w:t>5</w:t>
            </w:r>
          </w:p>
        </w:tc>
        <w:tc>
          <w:tcPr>
            <w:tcW w:w="1980" w:type="dxa"/>
          </w:tcPr>
          <w:p w:rsidR="00015103" w:rsidRDefault="00015103" w:rsidP="00015103">
            <w:pPr>
              <w:spacing w:after="0"/>
              <w:rPr>
                <w:rFonts w:cs="Arial"/>
                <w:sz w:val="20"/>
                <w:szCs w:val="20"/>
              </w:rPr>
            </w:pPr>
            <w:r>
              <w:rPr>
                <w:rFonts w:cs="Arial"/>
                <w:sz w:val="20"/>
                <w:szCs w:val="20"/>
              </w:rPr>
              <w:t>Consultation with counterpart department (SSID) before submission of transition proposal and advocacy to address relevant concerns</w:t>
            </w:r>
          </w:p>
          <w:p w:rsidR="00015103" w:rsidRPr="007C6B32" w:rsidRDefault="00015103" w:rsidP="00015103">
            <w:pPr>
              <w:spacing w:after="0"/>
              <w:rPr>
                <w:rFonts w:cs="Arial"/>
                <w:i/>
                <w:sz w:val="20"/>
                <w:szCs w:val="20"/>
              </w:rPr>
            </w:pPr>
          </w:p>
        </w:tc>
        <w:tc>
          <w:tcPr>
            <w:tcW w:w="1260" w:type="dxa"/>
          </w:tcPr>
          <w:p w:rsidR="00015103" w:rsidRDefault="00015103" w:rsidP="00015103">
            <w:pPr>
              <w:spacing w:after="0"/>
              <w:rPr>
                <w:rFonts w:cs="Arial"/>
                <w:i/>
                <w:sz w:val="20"/>
                <w:szCs w:val="20"/>
              </w:rPr>
            </w:pPr>
            <w:r>
              <w:rPr>
                <w:rFonts w:cs="Arial"/>
                <w:sz w:val="20"/>
                <w:szCs w:val="20"/>
              </w:rPr>
              <w:t>MF Specialist</w:t>
            </w:r>
          </w:p>
          <w:p w:rsidR="00015103" w:rsidRPr="007C6B32" w:rsidRDefault="00015103" w:rsidP="00015103">
            <w:pPr>
              <w:spacing w:after="0"/>
              <w:rPr>
                <w:rFonts w:cs="Arial"/>
                <w:i/>
                <w:sz w:val="20"/>
                <w:szCs w:val="20"/>
              </w:rPr>
            </w:pPr>
          </w:p>
        </w:tc>
        <w:tc>
          <w:tcPr>
            <w:tcW w:w="1260" w:type="dxa"/>
          </w:tcPr>
          <w:p w:rsidR="00015103" w:rsidRDefault="00015103" w:rsidP="00015103">
            <w:pPr>
              <w:spacing w:after="0"/>
              <w:rPr>
                <w:rFonts w:cs="Arial"/>
                <w:sz w:val="20"/>
                <w:szCs w:val="20"/>
              </w:rPr>
            </w:pPr>
            <w:r>
              <w:rPr>
                <w:rFonts w:cs="Arial"/>
                <w:sz w:val="20"/>
                <w:szCs w:val="20"/>
              </w:rPr>
              <w:t>MF Specialist</w:t>
            </w:r>
          </w:p>
          <w:p w:rsidR="00015103" w:rsidRPr="007C6B32" w:rsidRDefault="00015103" w:rsidP="00015103">
            <w:pPr>
              <w:spacing w:after="0"/>
              <w:rPr>
                <w:rFonts w:cs="Arial"/>
                <w:i/>
                <w:sz w:val="20"/>
                <w:szCs w:val="20"/>
              </w:rPr>
            </w:pPr>
          </w:p>
        </w:tc>
        <w:tc>
          <w:tcPr>
            <w:tcW w:w="1260" w:type="dxa"/>
          </w:tcPr>
          <w:p w:rsidR="00015103" w:rsidRDefault="00015103" w:rsidP="00015103">
            <w:pPr>
              <w:spacing w:after="0"/>
              <w:rPr>
                <w:rFonts w:cs="Arial"/>
                <w:sz w:val="20"/>
                <w:szCs w:val="20"/>
              </w:rPr>
            </w:pPr>
            <w:r>
              <w:rPr>
                <w:rFonts w:cs="Arial"/>
                <w:sz w:val="20"/>
                <w:szCs w:val="20"/>
              </w:rPr>
              <w:t>Sep 2013</w:t>
            </w:r>
          </w:p>
          <w:p w:rsidR="00015103" w:rsidRPr="007C6B32" w:rsidRDefault="00015103" w:rsidP="00015103">
            <w:pPr>
              <w:spacing w:after="0"/>
              <w:rPr>
                <w:rFonts w:cs="Arial"/>
                <w:i/>
                <w:sz w:val="20"/>
                <w:szCs w:val="20"/>
              </w:rPr>
            </w:pPr>
          </w:p>
        </w:tc>
        <w:tc>
          <w:tcPr>
            <w:tcW w:w="1404" w:type="dxa"/>
          </w:tcPr>
          <w:p w:rsidR="00015103" w:rsidRDefault="00015103" w:rsidP="00015103">
            <w:pPr>
              <w:spacing w:after="0"/>
              <w:rPr>
                <w:rFonts w:cs="Arial"/>
                <w:sz w:val="20"/>
                <w:szCs w:val="20"/>
              </w:rPr>
            </w:pPr>
            <w:r>
              <w:rPr>
                <w:rFonts w:cs="Arial"/>
                <w:sz w:val="20"/>
                <w:szCs w:val="20"/>
              </w:rPr>
              <w:t>N</w:t>
            </w:r>
            <w:r w:rsidRPr="004D2095">
              <w:rPr>
                <w:rFonts w:cs="Arial"/>
                <w:sz w:val="20"/>
                <w:szCs w:val="20"/>
              </w:rPr>
              <w:t>o change</w:t>
            </w:r>
          </w:p>
          <w:p w:rsidR="00015103" w:rsidRPr="0002661A" w:rsidRDefault="00015103" w:rsidP="00015103">
            <w:pPr>
              <w:spacing w:after="0"/>
              <w:rPr>
                <w:rFonts w:cs="Arial"/>
                <w:sz w:val="20"/>
                <w:szCs w:val="20"/>
              </w:rPr>
            </w:pPr>
            <w:r>
              <w:rPr>
                <w:rFonts w:cs="Arial"/>
                <w:sz w:val="20"/>
                <w:szCs w:val="20"/>
              </w:rPr>
              <w:t>(in consultation process)</w:t>
            </w:r>
          </w:p>
        </w:tc>
      </w:tr>
      <w:tr w:rsidR="00015103" w:rsidRPr="00A44EC7" w:rsidTr="00523E87">
        <w:trPr>
          <w:jc w:val="center"/>
        </w:trPr>
        <w:tc>
          <w:tcPr>
            <w:tcW w:w="372" w:type="dxa"/>
          </w:tcPr>
          <w:p w:rsidR="00015103" w:rsidRPr="004D2095" w:rsidRDefault="00015103" w:rsidP="00015103">
            <w:pPr>
              <w:spacing w:after="0"/>
              <w:rPr>
                <w:rFonts w:cs="Arial"/>
                <w:sz w:val="20"/>
                <w:szCs w:val="20"/>
              </w:rPr>
            </w:pPr>
            <w:r w:rsidRPr="004D2095">
              <w:rPr>
                <w:rFonts w:cs="Arial"/>
                <w:sz w:val="20"/>
                <w:szCs w:val="20"/>
              </w:rPr>
              <w:t>2</w:t>
            </w:r>
          </w:p>
        </w:tc>
        <w:tc>
          <w:tcPr>
            <w:tcW w:w="1748" w:type="dxa"/>
          </w:tcPr>
          <w:p w:rsidR="00015103" w:rsidRPr="00915ED4" w:rsidRDefault="00015103" w:rsidP="00015103">
            <w:pPr>
              <w:spacing w:after="0"/>
              <w:rPr>
                <w:rFonts w:cs="Arial"/>
                <w:b/>
                <w:sz w:val="20"/>
                <w:szCs w:val="20"/>
              </w:rPr>
            </w:pPr>
            <w:r w:rsidRPr="00915ED4">
              <w:rPr>
                <w:rFonts w:cs="Arial"/>
                <w:b/>
                <w:sz w:val="20"/>
                <w:szCs w:val="20"/>
              </w:rPr>
              <w:t>Delay in transition process</w:t>
            </w:r>
          </w:p>
        </w:tc>
        <w:tc>
          <w:tcPr>
            <w:tcW w:w="1260" w:type="dxa"/>
          </w:tcPr>
          <w:p w:rsidR="00015103" w:rsidRDefault="00015103" w:rsidP="00015103">
            <w:pPr>
              <w:spacing w:after="0"/>
              <w:rPr>
                <w:rFonts w:cs="Arial"/>
                <w:sz w:val="20"/>
                <w:szCs w:val="20"/>
              </w:rPr>
            </w:pPr>
            <w:r>
              <w:rPr>
                <w:rFonts w:cs="Arial"/>
                <w:sz w:val="20"/>
                <w:szCs w:val="20"/>
              </w:rPr>
              <w:t>January  2013</w:t>
            </w:r>
          </w:p>
          <w:p w:rsidR="00015103" w:rsidRPr="007C6B32" w:rsidRDefault="00015103" w:rsidP="00015103">
            <w:pPr>
              <w:spacing w:after="0"/>
              <w:rPr>
                <w:rFonts w:cs="Arial"/>
                <w:i/>
                <w:sz w:val="20"/>
                <w:szCs w:val="20"/>
              </w:rPr>
            </w:pPr>
          </w:p>
        </w:tc>
        <w:tc>
          <w:tcPr>
            <w:tcW w:w="1832" w:type="dxa"/>
          </w:tcPr>
          <w:p w:rsidR="00015103" w:rsidRPr="004D2095" w:rsidRDefault="00015103" w:rsidP="00015103">
            <w:pPr>
              <w:spacing w:after="0"/>
              <w:rPr>
                <w:rFonts w:cs="Arial"/>
                <w:sz w:val="20"/>
                <w:szCs w:val="20"/>
              </w:rPr>
            </w:pPr>
            <w:r w:rsidRPr="004D2095">
              <w:rPr>
                <w:rFonts w:cs="Arial"/>
                <w:sz w:val="20"/>
                <w:szCs w:val="20"/>
              </w:rPr>
              <w:t>Operational</w:t>
            </w:r>
            <w:r>
              <w:rPr>
                <w:rFonts w:cs="Arial"/>
                <w:sz w:val="20"/>
                <w:szCs w:val="20"/>
              </w:rPr>
              <w:t xml:space="preserve"> </w:t>
            </w:r>
          </w:p>
          <w:p w:rsidR="00015103" w:rsidRPr="004D2095" w:rsidRDefault="00015103" w:rsidP="00015103">
            <w:pPr>
              <w:spacing w:after="0"/>
              <w:rPr>
                <w:rFonts w:cs="Arial"/>
                <w:sz w:val="20"/>
                <w:szCs w:val="20"/>
              </w:rPr>
            </w:pPr>
          </w:p>
        </w:tc>
        <w:tc>
          <w:tcPr>
            <w:tcW w:w="2752" w:type="dxa"/>
          </w:tcPr>
          <w:p w:rsidR="00015103" w:rsidRDefault="00015103" w:rsidP="00015103">
            <w:pPr>
              <w:spacing w:after="0"/>
              <w:rPr>
                <w:rFonts w:cs="Arial"/>
                <w:sz w:val="20"/>
                <w:szCs w:val="20"/>
              </w:rPr>
            </w:pPr>
            <w:r>
              <w:rPr>
                <w:rFonts w:cs="Arial"/>
                <w:sz w:val="20"/>
                <w:szCs w:val="20"/>
              </w:rPr>
              <w:t>Delay could also be caused by late response of HQ to clearance requests or procedural issues in implementing the transition agreement</w:t>
            </w:r>
          </w:p>
          <w:p w:rsidR="00015103" w:rsidRDefault="00015103" w:rsidP="00015103">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015103" w:rsidRPr="004D2095" w:rsidRDefault="00015103" w:rsidP="00015103">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3</w:t>
            </w:r>
          </w:p>
        </w:tc>
        <w:tc>
          <w:tcPr>
            <w:tcW w:w="1980" w:type="dxa"/>
          </w:tcPr>
          <w:p w:rsidR="00015103" w:rsidRPr="0002661A" w:rsidRDefault="00015103" w:rsidP="00015103">
            <w:pPr>
              <w:spacing w:after="0"/>
              <w:rPr>
                <w:rFonts w:cs="Arial"/>
                <w:sz w:val="20"/>
                <w:szCs w:val="20"/>
              </w:rPr>
            </w:pPr>
            <w:r>
              <w:rPr>
                <w:rFonts w:cs="Arial"/>
                <w:sz w:val="20"/>
                <w:szCs w:val="20"/>
              </w:rPr>
              <w:t>Follow up HQ responses on relevant issues and make necessary preparations for implementing the transition agreement in a timely manner</w:t>
            </w:r>
          </w:p>
        </w:tc>
        <w:tc>
          <w:tcPr>
            <w:tcW w:w="1260" w:type="dxa"/>
          </w:tcPr>
          <w:p w:rsidR="00015103" w:rsidRPr="0002661A" w:rsidRDefault="00015103" w:rsidP="00015103">
            <w:pPr>
              <w:spacing w:after="0"/>
              <w:rPr>
                <w:rFonts w:cs="Arial"/>
                <w:sz w:val="20"/>
                <w:szCs w:val="20"/>
              </w:rPr>
            </w:pPr>
            <w:r>
              <w:rPr>
                <w:rFonts w:cs="Arial"/>
                <w:sz w:val="20"/>
                <w:szCs w:val="20"/>
              </w:rPr>
              <w:t>MF Specialist</w:t>
            </w:r>
          </w:p>
        </w:tc>
        <w:tc>
          <w:tcPr>
            <w:tcW w:w="1260" w:type="dxa"/>
          </w:tcPr>
          <w:p w:rsidR="00015103" w:rsidRPr="0002661A" w:rsidRDefault="00015103" w:rsidP="00015103">
            <w:pPr>
              <w:spacing w:after="0"/>
              <w:rPr>
                <w:rFonts w:cs="Arial"/>
                <w:sz w:val="20"/>
                <w:szCs w:val="20"/>
              </w:rPr>
            </w:pPr>
            <w:r>
              <w:rPr>
                <w:rFonts w:cs="Arial"/>
                <w:sz w:val="20"/>
                <w:szCs w:val="20"/>
              </w:rPr>
              <w:t>MF Specialist</w:t>
            </w:r>
          </w:p>
        </w:tc>
        <w:tc>
          <w:tcPr>
            <w:tcW w:w="1260" w:type="dxa"/>
          </w:tcPr>
          <w:p w:rsidR="00015103" w:rsidRPr="0002661A" w:rsidRDefault="00015103" w:rsidP="00015103">
            <w:pPr>
              <w:spacing w:after="0"/>
              <w:rPr>
                <w:rFonts w:cs="Arial"/>
                <w:sz w:val="20"/>
                <w:szCs w:val="20"/>
              </w:rPr>
            </w:pPr>
            <w:r>
              <w:rPr>
                <w:rFonts w:cs="Arial"/>
                <w:sz w:val="20"/>
                <w:szCs w:val="20"/>
              </w:rPr>
              <w:t>Sep 2013</w:t>
            </w:r>
          </w:p>
        </w:tc>
        <w:tc>
          <w:tcPr>
            <w:tcW w:w="1404" w:type="dxa"/>
          </w:tcPr>
          <w:p w:rsidR="00015103" w:rsidRDefault="00015103" w:rsidP="00015103">
            <w:pPr>
              <w:spacing w:after="0"/>
              <w:rPr>
                <w:rFonts w:cs="Arial"/>
                <w:sz w:val="20"/>
                <w:szCs w:val="20"/>
              </w:rPr>
            </w:pPr>
            <w:r>
              <w:rPr>
                <w:rFonts w:cs="Arial"/>
                <w:sz w:val="20"/>
                <w:szCs w:val="20"/>
              </w:rPr>
              <w:t>N</w:t>
            </w:r>
            <w:r w:rsidRPr="004D2095">
              <w:rPr>
                <w:rFonts w:cs="Arial"/>
                <w:sz w:val="20"/>
                <w:szCs w:val="20"/>
              </w:rPr>
              <w:t>o change</w:t>
            </w:r>
          </w:p>
          <w:p w:rsidR="00015103" w:rsidRPr="0002661A" w:rsidRDefault="00015103" w:rsidP="00015103">
            <w:pPr>
              <w:spacing w:after="0"/>
              <w:rPr>
                <w:rFonts w:cs="Arial"/>
                <w:sz w:val="20"/>
                <w:szCs w:val="20"/>
              </w:rPr>
            </w:pPr>
            <w:r>
              <w:rPr>
                <w:rFonts w:cs="Arial"/>
                <w:sz w:val="20"/>
                <w:szCs w:val="20"/>
              </w:rPr>
              <w:t>(in follow up process)</w:t>
            </w:r>
            <w:bookmarkStart w:id="0" w:name="_GoBack"/>
            <w:bookmarkEnd w:id="0"/>
          </w:p>
        </w:tc>
      </w:tr>
      <w:tr w:rsidR="00015103" w:rsidRPr="00A44EC7" w:rsidTr="00523E87">
        <w:trPr>
          <w:jc w:val="center"/>
        </w:trPr>
        <w:tc>
          <w:tcPr>
            <w:tcW w:w="372" w:type="dxa"/>
          </w:tcPr>
          <w:p w:rsidR="00015103" w:rsidRPr="004D2095" w:rsidRDefault="00015103" w:rsidP="00015103">
            <w:pPr>
              <w:spacing w:after="0"/>
              <w:rPr>
                <w:rFonts w:cs="Arial"/>
                <w:sz w:val="20"/>
                <w:szCs w:val="20"/>
              </w:rPr>
            </w:pPr>
            <w:r w:rsidRPr="004D2095">
              <w:rPr>
                <w:rFonts w:cs="Arial"/>
                <w:sz w:val="20"/>
                <w:szCs w:val="20"/>
              </w:rPr>
              <w:lastRenderedPageBreak/>
              <w:t>3</w:t>
            </w:r>
          </w:p>
        </w:tc>
        <w:tc>
          <w:tcPr>
            <w:tcW w:w="1748" w:type="dxa"/>
          </w:tcPr>
          <w:p w:rsidR="00015103" w:rsidRDefault="00015103" w:rsidP="00015103">
            <w:pPr>
              <w:spacing w:after="0"/>
              <w:rPr>
                <w:rFonts w:cs="Arial"/>
                <w:b/>
                <w:sz w:val="20"/>
                <w:szCs w:val="20"/>
              </w:rPr>
            </w:pPr>
            <w:r w:rsidRPr="00915ED4">
              <w:rPr>
                <w:rFonts w:cs="Arial"/>
                <w:b/>
                <w:sz w:val="20"/>
                <w:szCs w:val="20"/>
              </w:rPr>
              <w:t xml:space="preserve">Insufficient institutional capacity of </w:t>
            </w:r>
            <w:r>
              <w:rPr>
                <w:rFonts w:cs="Arial"/>
                <w:b/>
                <w:sz w:val="20"/>
                <w:szCs w:val="20"/>
              </w:rPr>
              <w:t>organization to which MFP assets are transferred</w:t>
            </w:r>
          </w:p>
          <w:p w:rsidR="00015103" w:rsidRPr="00915ED4" w:rsidRDefault="00015103" w:rsidP="00015103">
            <w:pPr>
              <w:spacing w:after="0"/>
              <w:rPr>
                <w:rFonts w:cs="Arial"/>
                <w:b/>
                <w:sz w:val="20"/>
                <w:szCs w:val="20"/>
              </w:rPr>
            </w:pPr>
          </w:p>
        </w:tc>
        <w:tc>
          <w:tcPr>
            <w:tcW w:w="1260" w:type="dxa"/>
          </w:tcPr>
          <w:p w:rsidR="00015103" w:rsidRDefault="00015103" w:rsidP="00015103">
            <w:pPr>
              <w:spacing w:after="0"/>
              <w:rPr>
                <w:rFonts w:cs="Arial"/>
                <w:sz w:val="20"/>
                <w:szCs w:val="20"/>
              </w:rPr>
            </w:pPr>
            <w:r>
              <w:rPr>
                <w:rFonts w:cs="Arial"/>
                <w:sz w:val="20"/>
                <w:szCs w:val="20"/>
              </w:rPr>
              <w:t>February 2013</w:t>
            </w:r>
          </w:p>
          <w:p w:rsidR="00015103" w:rsidRPr="007C6B32" w:rsidRDefault="00015103" w:rsidP="00015103">
            <w:pPr>
              <w:spacing w:after="0"/>
              <w:rPr>
                <w:rFonts w:cs="Arial"/>
                <w:i/>
                <w:sz w:val="20"/>
                <w:szCs w:val="20"/>
              </w:rPr>
            </w:pPr>
          </w:p>
        </w:tc>
        <w:tc>
          <w:tcPr>
            <w:tcW w:w="1832" w:type="dxa"/>
          </w:tcPr>
          <w:p w:rsidR="00015103" w:rsidRPr="004D2095" w:rsidRDefault="00015103" w:rsidP="00015103">
            <w:pPr>
              <w:spacing w:after="0"/>
              <w:rPr>
                <w:rFonts w:cs="Arial"/>
                <w:sz w:val="20"/>
                <w:szCs w:val="20"/>
              </w:rPr>
            </w:pPr>
            <w:r w:rsidRPr="004D2095">
              <w:rPr>
                <w:rFonts w:cs="Arial"/>
                <w:sz w:val="20"/>
                <w:szCs w:val="20"/>
              </w:rPr>
              <w:t>Organizational</w:t>
            </w:r>
          </w:p>
          <w:p w:rsidR="00015103" w:rsidRPr="004D2095" w:rsidRDefault="00015103" w:rsidP="00015103">
            <w:pPr>
              <w:spacing w:after="0"/>
              <w:rPr>
                <w:rFonts w:cs="Arial"/>
                <w:sz w:val="20"/>
                <w:szCs w:val="20"/>
              </w:rPr>
            </w:pPr>
          </w:p>
        </w:tc>
        <w:tc>
          <w:tcPr>
            <w:tcW w:w="2752" w:type="dxa"/>
          </w:tcPr>
          <w:p w:rsidR="00015103" w:rsidRDefault="00015103" w:rsidP="00015103">
            <w:pPr>
              <w:spacing w:after="0"/>
              <w:rPr>
                <w:rFonts w:cs="Arial"/>
                <w:sz w:val="20"/>
                <w:szCs w:val="20"/>
              </w:rPr>
            </w:pPr>
            <w:r>
              <w:rPr>
                <w:rFonts w:cs="Arial"/>
                <w:sz w:val="20"/>
                <w:szCs w:val="20"/>
              </w:rPr>
              <w:t xml:space="preserve">If the </w:t>
            </w:r>
            <w:r w:rsidRPr="0039572E">
              <w:rPr>
                <w:rFonts w:cs="Arial"/>
                <w:sz w:val="20"/>
                <w:szCs w:val="20"/>
              </w:rPr>
              <w:t>organization to which MFP assets are transferred</w:t>
            </w:r>
            <w:r>
              <w:rPr>
                <w:rFonts w:cs="Arial"/>
                <w:sz w:val="20"/>
                <w:szCs w:val="20"/>
              </w:rPr>
              <w:t xml:space="preserve"> is unable to manage these properly, this would impact future sustainability and reputation of the project.</w:t>
            </w:r>
          </w:p>
          <w:p w:rsidR="00015103" w:rsidRDefault="00015103" w:rsidP="00015103">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015103" w:rsidRPr="004D2095" w:rsidRDefault="00015103" w:rsidP="00015103">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4</w:t>
            </w:r>
          </w:p>
        </w:tc>
        <w:tc>
          <w:tcPr>
            <w:tcW w:w="1980" w:type="dxa"/>
          </w:tcPr>
          <w:p w:rsidR="00015103" w:rsidRPr="0002661A" w:rsidRDefault="00015103" w:rsidP="00015103">
            <w:pPr>
              <w:spacing w:after="0"/>
              <w:rPr>
                <w:rFonts w:cs="Arial"/>
                <w:sz w:val="20"/>
                <w:szCs w:val="20"/>
              </w:rPr>
            </w:pPr>
            <w:r>
              <w:rPr>
                <w:rFonts w:cs="Arial"/>
                <w:sz w:val="20"/>
                <w:szCs w:val="20"/>
              </w:rPr>
              <w:t xml:space="preserve">Appropriate assessment of the </w:t>
            </w:r>
            <w:r w:rsidRPr="00577204">
              <w:rPr>
                <w:rFonts w:cs="Arial"/>
                <w:sz w:val="20"/>
                <w:szCs w:val="20"/>
              </w:rPr>
              <w:t xml:space="preserve">organization to which MFP assets are </w:t>
            </w:r>
            <w:r>
              <w:rPr>
                <w:rFonts w:cs="Arial"/>
                <w:sz w:val="20"/>
                <w:szCs w:val="20"/>
              </w:rPr>
              <w:t xml:space="preserve">to be </w:t>
            </w:r>
            <w:r w:rsidRPr="00577204">
              <w:rPr>
                <w:rFonts w:cs="Arial"/>
                <w:sz w:val="20"/>
                <w:szCs w:val="20"/>
              </w:rPr>
              <w:t>transferred</w:t>
            </w:r>
          </w:p>
        </w:tc>
        <w:tc>
          <w:tcPr>
            <w:tcW w:w="1260" w:type="dxa"/>
          </w:tcPr>
          <w:p w:rsidR="00015103" w:rsidRPr="0002661A" w:rsidRDefault="00015103" w:rsidP="00015103">
            <w:pPr>
              <w:spacing w:after="0"/>
              <w:rPr>
                <w:rFonts w:cs="Arial"/>
                <w:sz w:val="20"/>
                <w:szCs w:val="20"/>
              </w:rPr>
            </w:pPr>
            <w:r>
              <w:rPr>
                <w:rFonts w:cs="Arial"/>
                <w:sz w:val="20"/>
                <w:szCs w:val="20"/>
              </w:rPr>
              <w:t>MF Specialist</w:t>
            </w:r>
          </w:p>
        </w:tc>
        <w:tc>
          <w:tcPr>
            <w:tcW w:w="1260" w:type="dxa"/>
          </w:tcPr>
          <w:p w:rsidR="00015103" w:rsidRPr="0002661A" w:rsidRDefault="00015103" w:rsidP="00015103">
            <w:pPr>
              <w:spacing w:after="0"/>
              <w:rPr>
                <w:rFonts w:cs="Arial"/>
                <w:sz w:val="20"/>
                <w:szCs w:val="20"/>
              </w:rPr>
            </w:pPr>
            <w:r>
              <w:rPr>
                <w:rFonts w:cs="Arial"/>
                <w:sz w:val="20"/>
                <w:szCs w:val="20"/>
              </w:rPr>
              <w:t>MF Specialist</w:t>
            </w:r>
          </w:p>
        </w:tc>
        <w:tc>
          <w:tcPr>
            <w:tcW w:w="1260" w:type="dxa"/>
          </w:tcPr>
          <w:p w:rsidR="00015103" w:rsidRPr="0002661A" w:rsidRDefault="00015103" w:rsidP="00015103">
            <w:pPr>
              <w:spacing w:after="0"/>
              <w:rPr>
                <w:rFonts w:cs="Arial"/>
                <w:sz w:val="20"/>
                <w:szCs w:val="20"/>
              </w:rPr>
            </w:pPr>
            <w:r>
              <w:rPr>
                <w:rFonts w:cs="Arial"/>
                <w:sz w:val="20"/>
                <w:szCs w:val="20"/>
              </w:rPr>
              <w:t>Sep 2013</w:t>
            </w:r>
          </w:p>
        </w:tc>
        <w:tc>
          <w:tcPr>
            <w:tcW w:w="1404" w:type="dxa"/>
          </w:tcPr>
          <w:p w:rsidR="00015103" w:rsidRDefault="00015103" w:rsidP="00015103">
            <w:pPr>
              <w:spacing w:after="0"/>
              <w:rPr>
                <w:rFonts w:cs="Arial"/>
                <w:sz w:val="20"/>
                <w:szCs w:val="20"/>
              </w:rPr>
            </w:pPr>
            <w:r>
              <w:rPr>
                <w:rFonts w:cs="Arial"/>
                <w:sz w:val="20"/>
                <w:szCs w:val="20"/>
              </w:rPr>
              <w:t>N</w:t>
            </w:r>
            <w:r w:rsidRPr="004D2095">
              <w:rPr>
                <w:rFonts w:cs="Arial"/>
                <w:sz w:val="20"/>
                <w:szCs w:val="20"/>
              </w:rPr>
              <w:t>o change</w:t>
            </w:r>
          </w:p>
          <w:p w:rsidR="00015103" w:rsidRPr="0002661A" w:rsidRDefault="00015103" w:rsidP="00015103">
            <w:pPr>
              <w:spacing w:after="0"/>
              <w:rPr>
                <w:rFonts w:cs="Arial"/>
                <w:sz w:val="20"/>
                <w:szCs w:val="20"/>
              </w:rPr>
            </w:pPr>
            <w:r>
              <w:rPr>
                <w:rFonts w:cs="Arial"/>
                <w:sz w:val="20"/>
                <w:szCs w:val="20"/>
              </w:rPr>
              <w:t>(in process)</w:t>
            </w:r>
          </w:p>
        </w:tc>
      </w:tr>
    </w:tbl>
    <w:p w:rsidR="00830F71" w:rsidRDefault="00830F71" w:rsidP="00830F71">
      <w:pPr>
        <w:spacing w:after="0"/>
        <w:jc w:val="both"/>
        <w:rPr>
          <w:rFonts w:cstheme="minorHAnsi"/>
          <w:sz w:val="24"/>
        </w:rPr>
      </w:pPr>
    </w:p>
    <w:p w:rsidR="00384FFC" w:rsidRDefault="00384FFC" w:rsidP="00384FFC">
      <w:pPr>
        <w:spacing w:after="0"/>
        <w:ind w:firstLine="720"/>
        <w:jc w:val="both"/>
        <w:rPr>
          <w:rFonts w:cstheme="minorHAnsi"/>
          <w:sz w:val="24"/>
        </w:rPr>
      </w:pPr>
      <w:r w:rsidRPr="00384FFC">
        <w:rPr>
          <w:rFonts w:cstheme="minorHAnsi"/>
          <w:sz w:val="24"/>
          <w:u w:val="single"/>
        </w:rPr>
        <w:t>Project Issues Log:</w:t>
      </w:r>
      <w:r>
        <w:rPr>
          <w:rFonts w:cstheme="minorHAnsi"/>
          <w:sz w:val="24"/>
        </w:rPr>
        <w:t xml:space="preserve"> </w:t>
      </w:r>
      <w:r w:rsidRPr="00384FFC">
        <w:rPr>
          <w:rFonts w:cstheme="minorHAnsi"/>
          <w:i/>
        </w:rPr>
        <w:t xml:space="preserve">Please integrate the latest project </w:t>
      </w:r>
      <w:r>
        <w:rPr>
          <w:rFonts w:cstheme="minorHAnsi"/>
          <w:i/>
        </w:rPr>
        <w:t>issues</w:t>
      </w:r>
      <w:r w:rsidRPr="00384FFC">
        <w:rPr>
          <w:rFonts w:cstheme="minorHAnsi"/>
          <w:i/>
        </w:rPr>
        <w:t xml:space="preserve"> log (from previous quarter) and update as relevant</w:t>
      </w:r>
      <w:r>
        <w:rPr>
          <w:rFonts w:cstheme="minorHAnsi"/>
          <w:i/>
        </w:rPr>
        <w:t xml:space="preserve"> – or if this the first QPR of the project, fill in the below template</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260"/>
        <w:gridCol w:w="1800"/>
        <w:gridCol w:w="2520"/>
        <w:gridCol w:w="2520"/>
        <w:gridCol w:w="1260"/>
        <w:gridCol w:w="1260"/>
        <w:gridCol w:w="1260"/>
        <w:gridCol w:w="1206"/>
      </w:tblGrid>
      <w:tr w:rsidR="00384FFC" w:rsidRPr="00A44EC7" w:rsidTr="00E612B2">
        <w:trPr>
          <w:jc w:val="center"/>
        </w:trPr>
        <w:tc>
          <w:tcPr>
            <w:tcW w:w="372" w:type="dxa"/>
            <w:shd w:val="clear" w:color="auto" w:fill="FFCC00"/>
          </w:tcPr>
          <w:p w:rsidR="00384FFC" w:rsidRPr="00A44EC7" w:rsidRDefault="00384FFC" w:rsidP="00384FFC">
            <w:pPr>
              <w:spacing w:after="0"/>
              <w:jc w:val="center"/>
              <w:rPr>
                <w:rFonts w:cs="Arial"/>
                <w:b/>
                <w:sz w:val="24"/>
              </w:rPr>
            </w:pPr>
            <w:r w:rsidRPr="00A44EC7">
              <w:rPr>
                <w:rFonts w:cs="Arial"/>
                <w:b/>
                <w:sz w:val="24"/>
              </w:rPr>
              <w:t>#</w:t>
            </w:r>
          </w:p>
        </w:tc>
        <w:tc>
          <w:tcPr>
            <w:tcW w:w="1620" w:type="dxa"/>
            <w:shd w:val="clear" w:color="auto" w:fill="FFCC00"/>
          </w:tcPr>
          <w:p w:rsidR="00384FFC" w:rsidRPr="001D0F8F" w:rsidRDefault="00384FFC" w:rsidP="00384FFC">
            <w:pPr>
              <w:spacing w:after="0"/>
              <w:jc w:val="center"/>
              <w:rPr>
                <w:rFonts w:cs="Arial"/>
                <w:b/>
                <w:szCs w:val="20"/>
              </w:rPr>
            </w:pPr>
            <w:r w:rsidRPr="001D0F8F">
              <w:rPr>
                <w:rFonts w:cs="Arial"/>
                <w:b/>
                <w:szCs w:val="20"/>
              </w:rPr>
              <w:t>Description</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Date Identified</w:t>
            </w:r>
          </w:p>
        </w:tc>
        <w:tc>
          <w:tcPr>
            <w:tcW w:w="1800" w:type="dxa"/>
            <w:shd w:val="clear" w:color="auto" w:fill="FFCC00"/>
          </w:tcPr>
          <w:p w:rsidR="00384FFC" w:rsidRPr="001D0F8F" w:rsidRDefault="00384FFC" w:rsidP="00384FFC">
            <w:pPr>
              <w:spacing w:after="0"/>
              <w:jc w:val="center"/>
              <w:rPr>
                <w:rFonts w:cs="Arial"/>
                <w:b/>
                <w:szCs w:val="20"/>
              </w:rPr>
            </w:pPr>
            <w:r>
              <w:rPr>
                <w:rFonts w:cs="Arial"/>
                <w:b/>
                <w:szCs w:val="20"/>
              </w:rPr>
              <w:t>Type</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Impact &amp;</w:t>
            </w:r>
          </w:p>
          <w:p w:rsidR="00384FFC" w:rsidRPr="001D0F8F" w:rsidRDefault="00384FFC" w:rsidP="00384FFC">
            <w:pPr>
              <w:spacing w:after="0"/>
              <w:jc w:val="center"/>
              <w:rPr>
                <w:rFonts w:cs="Arial"/>
                <w:b/>
                <w:szCs w:val="20"/>
              </w:rPr>
            </w:pPr>
            <w:r>
              <w:rPr>
                <w:rFonts w:cs="Arial"/>
                <w:b/>
                <w:szCs w:val="20"/>
              </w:rPr>
              <w:t>Priority</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Owner</w:t>
            </w:r>
          </w:p>
        </w:tc>
        <w:tc>
          <w:tcPr>
            <w:tcW w:w="1260" w:type="dxa"/>
            <w:shd w:val="clear" w:color="auto" w:fill="FFCC00"/>
          </w:tcPr>
          <w:p w:rsidR="00384FFC" w:rsidRPr="001D0F8F" w:rsidRDefault="00384FFC" w:rsidP="00384FFC">
            <w:pPr>
              <w:spacing w:after="0"/>
              <w:jc w:val="center"/>
              <w:rPr>
                <w:rFonts w:cs="Arial"/>
                <w:b/>
                <w:szCs w:val="20"/>
              </w:rPr>
            </w:pPr>
            <w:r>
              <w:rPr>
                <w:rFonts w:cs="Arial"/>
                <w:b/>
                <w:szCs w:val="20"/>
              </w:rPr>
              <w:t>Submitted, updated by</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Last Update</w:t>
            </w:r>
          </w:p>
        </w:tc>
        <w:tc>
          <w:tcPr>
            <w:tcW w:w="1206" w:type="dxa"/>
            <w:shd w:val="clear" w:color="auto" w:fill="FFCC00"/>
          </w:tcPr>
          <w:p w:rsidR="00384FFC" w:rsidRPr="001D0F8F" w:rsidRDefault="00384FFC" w:rsidP="00384FFC">
            <w:pPr>
              <w:spacing w:after="0"/>
              <w:jc w:val="center"/>
              <w:rPr>
                <w:rFonts w:cs="Arial"/>
                <w:b/>
                <w:szCs w:val="20"/>
              </w:rPr>
            </w:pPr>
            <w:r w:rsidRPr="001D0F8F">
              <w:rPr>
                <w:rFonts w:cs="Arial"/>
                <w:b/>
                <w:szCs w:val="20"/>
              </w:rPr>
              <w:t>Status</w:t>
            </w:r>
          </w:p>
        </w:tc>
      </w:tr>
      <w:tr w:rsidR="00384FFC" w:rsidRPr="00FC0634" w:rsidTr="00E612B2">
        <w:trPr>
          <w:jc w:val="center"/>
        </w:trPr>
        <w:tc>
          <w:tcPr>
            <w:tcW w:w="372" w:type="dxa"/>
          </w:tcPr>
          <w:p w:rsidR="00384FFC" w:rsidRPr="00FC0634" w:rsidRDefault="00384FFC" w:rsidP="00384FFC">
            <w:pPr>
              <w:spacing w:after="0"/>
              <w:rPr>
                <w:rFonts w:cs="Arial"/>
                <w:sz w:val="20"/>
                <w:szCs w:val="20"/>
              </w:rPr>
            </w:pPr>
            <w:r w:rsidRPr="00FC0634">
              <w:rPr>
                <w:rFonts w:cs="Arial"/>
                <w:sz w:val="20"/>
                <w:szCs w:val="20"/>
              </w:rPr>
              <w:t>2</w:t>
            </w:r>
          </w:p>
        </w:tc>
        <w:tc>
          <w:tcPr>
            <w:tcW w:w="1620" w:type="dxa"/>
          </w:tcPr>
          <w:p w:rsidR="00384FFC" w:rsidRDefault="00A30CD9" w:rsidP="00384FFC">
            <w:pPr>
              <w:spacing w:after="0"/>
              <w:rPr>
                <w:rFonts w:cs="Arial"/>
                <w:b/>
                <w:sz w:val="20"/>
                <w:szCs w:val="20"/>
              </w:rPr>
            </w:pPr>
            <w:r>
              <w:rPr>
                <w:rFonts w:cs="Arial"/>
                <w:b/>
                <w:sz w:val="20"/>
                <w:szCs w:val="20"/>
              </w:rPr>
              <w:t>Identification</w:t>
            </w:r>
            <w:r w:rsidR="002C5036" w:rsidRPr="00FC0634">
              <w:rPr>
                <w:rFonts w:cs="Arial"/>
                <w:b/>
                <w:sz w:val="20"/>
                <w:szCs w:val="20"/>
              </w:rPr>
              <w:t xml:space="preserve"> of transition strategy with donors</w:t>
            </w:r>
          </w:p>
          <w:p w:rsidR="002C7991" w:rsidRPr="00FC0634" w:rsidRDefault="002C7991" w:rsidP="00384FFC">
            <w:pPr>
              <w:spacing w:after="0"/>
              <w:rPr>
                <w:rFonts w:cs="Arial"/>
                <w:b/>
                <w:sz w:val="20"/>
                <w:szCs w:val="20"/>
              </w:rPr>
            </w:pPr>
          </w:p>
        </w:tc>
        <w:tc>
          <w:tcPr>
            <w:tcW w:w="1260" w:type="dxa"/>
          </w:tcPr>
          <w:p w:rsidR="00384FFC" w:rsidRPr="00FC0634" w:rsidRDefault="0037061A" w:rsidP="00384FFC">
            <w:pPr>
              <w:spacing w:after="0"/>
              <w:rPr>
                <w:rFonts w:cs="Arial"/>
                <w:sz w:val="20"/>
                <w:szCs w:val="20"/>
              </w:rPr>
            </w:pPr>
            <w:r>
              <w:rPr>
                <w:rFonts w:cs="Arial"/>
                <w:sz w:val="20"/>
                <w:szCs w:val="20"/>
              </w:rPr>
              <w:t>March</w:t>
            </w:r>
            <w:r w:rsidR="00DF495B" w:rsidRPr="00FC0634">
              <w:rPr>
                <w:rFonts w:cs="Arial"/>
                <w:sz w:val="20"/>
                <w:szCs w:val="20"/>
              </w:rPr>
              <w:t xml:space="preserve"> 2013</w:t>
            </w:r>
          </w:p>
        </w:tc>
        <w:tc>
          <w:tcPr>
            <w:tcW w:w="1800" w:type="dxa"/>
          </w:tcPr>
          <w:p w:rsidR="00384FFC" w:rsidRPr="00FC0634" w:rsidRDefault="00A30CD9" w:rsidP="00F306A1">
            <w:pPr>
              <w:spacing w:after="0"/>
              <w:rPr>
                <w:rFonts w:cs="Arial"/>
                <w:sz w:val="20"/>
                <w:szCs w:val="20"/>
              </w:rPr>
            </w:pPr>
            <w:r>
              <w:rPr>
                <w:rFonts w:cs="Arial"/>
                <w:sz w:val="20"/>
                <w:szCs w:val="20"/>
              </w:rPr>
              <w:t>Other</w:t>
            </w:r>
          </w:p>
        </w:tc>
        <w:tc>
          <w:tcPr>
            <w:tcW w:w="2520" w:type="dxa"/>
          </w:tcPr>
          <w:p w:rsidR="0090452B" w:rsidRDefault="00A30CD9" w:rsidP="00384FFC">
            <w:pPr>
              <w:spacing w:after="0"/>
              <w:rPr>
                <w:rFonts w:cs="Arial"/>
                <w:sz w:val="20"/>
                <w:szCs w:val="20"/>
              </w:rPr>
            </w:pPr>
            <w:r>
              <w:rPr>
                <w:rFonts w:cs="Arial"/>
                <w:sz w:val="20"/>
                <w:szCs w:val="20"/>
              </w:rPr>
              <w:t>Discussions with donors have resulted in a draft strategy, however this still needs to be accepted by government counterpart and is dependent on the selected IP providing the required</w:t>
            </w:r>
            <w:r w:rsidR="00915563">
              <w:rPr>
                <w:rFonts w:cs="Arial"/>
                <w:sz w:val="20"/>
                <w:szCs w:val="20"/>
              </w:rPr>
              <w:t xml:space="preserve"> deliverables</w:t>
            </w:r>
          </w:p>
          <w:p w:rsidR="0090452B" w:rsidRDefault="0090452B" w:rsidP="00384FFC">
            <w:pPr>
              <w:spacing w:after="0"/>
              <w:rPr>
                <w:rFonts w:cs="Arial"/>
                <w:sz w:val="20"/>
                <w:szCs w:val="20"/>
              </w:rPr>
            </w:pPr>
          </w:p>
          <w:p w:rsidR="00384FFC" w:rsidRPr="00FC0634" w:rsidRDefault="00384FFC" w:rsidP="00384FFC">
            <w:pPr>
              <w:spacing w:after="0"/>
              <w:rPr>
                <w:rFonts w:cs="Arial"/>
                <w:sz w:val="20"/>
                <w:szCs w:val="20"/>
              </w:rPr>
            </w:pPr>
            <w:r w:rsidRPr="00FC0634">
              <w:rPr>
                <w:rFonts w:cs="Arial"/>
                <w:sz w:val="20"/>
                <w:szCs w:val="20"/>
              </w:rPr>
              <w:t>Priority =</w:t>
            </w:r>
            <w:r w:rsidR="00DF495B" w:rsidRPr="00FC0634">
              <w:rPr>
                <w:rFonts w:cs="Arial"/>
                <w:sz w:val="20"/>
                <w:szCs w:val="20"/>
              </w:rPr>
              <w:t xml:space="preserve"> 4</w:t>
            </w:r>
          </w:p>
        </w:tc>
        <w:tc>
          <w:tcPr>
            <w:tcW w:w="2520" w:type="dxa"/>
          </w:tcPr>
          <w:p w:rsidR="00384FFC" w:rsidRPr="00FC0634" w:rsidRDefault="00A30CD9" w:rsidP="00384FFC">
            <w:pPr>
              <w:spacing w:after="0"/>
              <w:rPr>
                <w:rFonts w:cs="Arial"/>
                <w:sz w:val="20"/>
                <w:szCs w:val="20"/>
              </w:rPr>
            </w:pPr>
            <w:r>
              <w:rPr>
                <w:rFonts w:cs="Arial"/>
                <w:sz w:val="20"/>
                <w:szCs w:val="20"/>
              </w:rPr>
              <w:t>Continued consultation with all stakeholders</w:t>
            </w:r>
            <w:r w:rsidR="00915563">
              <w:rPr>
                <w:rFonts w:cs="Arial"/>
                <w:sz w:val="20"/>
                <w:szCs w:val="20"/>
              </w:rPr>
              <w:t xml:space="preserve"> and coordination with IP</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AA40F7" w:rsidP="005E4ACF">
            <w:pPr>
              <w:spacing w:after="0"/>
              <w:rPr>
                <w:rFonts w:cs="Arial"/>
                <w:sz w:val="20"/>
                <w:szCs w:val="20"/>
              </w:rPr>
            </w:pPr>
            <w:r>
              <w:rPr>
                <w:rFonts w:cs="Arial"/>
                <w:sz w:val="20"/>
                <w:szCs w:val="20"/>
              </w:rPr>
              <w:t>Sep</w:t>
            </w:r>
            <w:r w:rsidR="005E4ACF">
              <w:rPr>
                <w:rFonts w:cs="Arial"/>
                <w:sz w:val="20"/>
                <w:szCs w:val="20"/>
              </w:rPr>
              <w:t xml:space="preserve"> 2013 </w:t>
            </w:r>
          </w:p>
        </w:tc>
        <w:tc>
          <w:tcPr>
            <w:tcW w:w="1206" w:type="dxa"/>
          </w:tcPr>
          <w:p w:rsidR="00384FFC" w:rsidRDefault="0037061A" w:rsidP="00384FFC">
            <w:pPr>
              <w:spacing w:after="0"/>
              <w:rPr>
                <w:rFonts w:cs="Arial"/>
                <w:sz w:val="20"/>
                <w:szCs w:val="20"/>
              </w:rPr>
            </w:pPr>
            <w:r>
              <w:rPr>
                <w:rFonts w:cs="Arial"/>
                <w:sz w:val="20"/>
                <w:szCs w:val="20"/>
              </w:rPr>
              <w:t>Completed</w:t>
            </w:r>
          </w:p>
          <w:p w:rsidR="005E4ACF" w:rsidRPr="00FC0634" w:rsidRDefault="005E4ACF" w:rsidP="00384FFC">
            <w:pPr>
              <w:spacing w:after="0"/>
              <w:rPr>
                <w:rFonts w:cs="Arial"/>
                <w:sz w:val="20"/>
                <w:szCs w:val="20"/>
              </w:rPr>
            </w:pPr>
          </w:p>
        </w:tc>
      </w:tr>
    </w:tbl>
    <w:p w:rsidR="00384FFC" w:rsidRDefault="00384FFC" w:rsidP="00384FFC">
      <w:pPr>
        <w:spacing w:after="0"/>
        <w:jc w:val="both"/>
        <w:rPr>
          <w:rFonts w:cstheme="minorHAnsi"/>
          <w:sz w:val="24"/>
        </w:rPr>
      </w:pPr>
    </w:p>
    <w:p w:rsidR="00D076DD" w:rsidRDefault="00D076DD" w:rsidP="00384FFC">
      <w:pPr>
        <w:spacing w:after="0"/>
        <w:jc w:val="both"/>
        <w:rPr>
          <w:rFonts w:cstheme="minorHAnsi"/>
          <w:sz w:val="24"/>
        </w:rPr>
        <w:sectPr w:rsidR="00D076DD" w:rsidSect="00523E87">
          <w:footerReference w:type="default" r:id="rId8"/>
          <w:pgSz w:w="16839" w:h="11907" w:orient="landscape" w:code="9"/>
          <w:pgMar w:top="1134" w:right="1361" w:bottom="1134"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proofErr w:type="gramStart"/>
      <w:r w:rsidR="00100D3C">
        <w:rPr>
          <w:rFonts w:cstheme="minorHAnsi"/>
          <w:b/>
          <w:sz w:val="24"/>
          <w:u w:val="single"/>
        </w:rPr>
        <w:t xml:space="preserve">sustainable  </w:t>
      </w:r>
      <w:r w:rsidR="00100D3C" w:rsidRPr="00100D3C">
        <w:rPr>
          <w:rFonts w:cstheme="minorHAnsi"/>
          <w:b/>
          <w:sz w:val="24"/>
          <w:u w:val="single"/>
        </w:rPr>
        <w:t>livelihoods</w:t>
      </w:r>
      <w:proofErr w:type="gramEnd"/>
      <w:r w:rsidR="00100D3C" w:rsidRPr="00100D3C">
        <w:rPr>
          <w:rFonts w:cstheme="minorHAnsi"/>
          <w:b/>
          <w:sz w:val="24"/>
          <w:u w:val="single"/>
        </w:rPr>
        <w:t xml:space="preserve"> and reintegration </w:t>
      </w:r>
      <w:proofErr w:type="spellStart"/>
      <w:r w:rsidR="00100D3C" w:rsidRPr="00100D3C">
        <w:rPr>
          <w:rFonts w:cstheme="minorHAnsi"/>
          <w:b/>
          <w:sz w:val="24"/>
          <w:u w:val="single"/>
        </w:rPr>
        <w:t>programmes</w:t>
      </w:r>
      <w:proofErr w:type="spellEnd"/>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100D3C">
        <w:rPr>
          <w:rFonts w:cstheme="minorHAnsi"/>
          <w:sz w:val="24"/>
        </w:rPr>
        <w:t>Microfinance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Baseline: </w:t>
      </w:r>
      <w:r w:rsidR="004F4764" w:rsidRPr="00A86896">
        <w:rPr>
          <w:rFonts w:cstheme="minorHAnsi"/>
          <w:i/>
          <w:sz w:val="24"/>
          <w:highlight w:val="yellow"/>
        </w:rPr>
        <w:t>as per C</w:t>
      </w:r>
      <w:r w:rsidRPr="00A86896">
        <w:rPr>
          <w:rFonts w:cstheme="minorHAnsi"/>
          <w:i/>
          <w:sz w:val="24"/>
          <w:highlight w:val="yellow"/>
        </w:rPr>
        <w:t>P</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Indicator: </w:t>
      </w:r>
      <w:r w:rsidR="004F4764" w:rsidRPr="00A86896">
        <w:rPr>
          <w:rFonts w:cstheme="minorHAnsi"/>
          <w:i/>
          <w:sz w:val="24"/>
          <w:highlight w:val="yellow"/>
        </w:rPr>
        <w:t>as per C</w:t>
      </w:r>
      <w:r w:rsidRPr="00A86896">
        <w:rPr>
          <w:rFonts w:cstheme="minorHAnsi"/>
          <w:i/>
          <w:sz w:val="24"/>
          <w:highlight w:val="yellow"/>
        </w:rPr>
        <w:t>P</w:t>
      </w:r>
    </w:p>
    <w:p w:rsidR="00A57CD6" w:rsidRDefault="00A86896" w:rsidP="00A86896">
      <w:pPr>
        <w:spacing w:after="0"/>
        <w:jc w:val="both"/>
        <w:rPr>
          <w:rFonts w:cstheme="minorHAnsi"/>
          <w:sz w:val="24"/>
          <w:highlight w:val="yellow"/>
        </w:rPr>
      </w:pPr>
      <w:r>
        <w:rPr>
          <w:rFonts w:cstheme="minorHAnsi"/>
          <w:sz w:val="24"/>
          <w:highlight w:val="yellow"/>
        </w:rPr>
        <w:t>[2013</w:t>
      </w:r>
      <w:r w:rsidR="00A57CD6">
        <w:rPr>
          <w:rFonts w:cstheme="minorHAnsi"/>
          <w:sz w:val="24"/>
          <w:highlight w:val="yellow"/>
        </w:rPr>
        <w:t>] Target:</w:t>
      </w:r>
      <w:r w:rsidR="00A57CD6">
        <w:rPr>
          <w:rFonts w:cstheme="minorHAnsi"/>
          <w:sz w:val="24"/>
          <w:highlight w:val="yellow"/>
        </w:rPr>
        <w:tab/>
      </w:r>
      <w:r w:rsidR="00A57CD6">
        <w:rPr>
          <w:rFonts w:cstheme="minorHAnsi"/>
          <w:sz w:val="24"/>
          <w:highlight w:val="yellow"/>
        </w:rPr>
        <w:tab/>
      </w:r>
      <w:r w:rsidR="00A57CD6">
        <w:rPr>
          <w:rFonts w:cstheme="minorHAnsi"/>
          <w:sz w:val="24"/>
          <w:highlight w:val="yellow"/>
        </w:rPr>
        <w:tab/>
      </w:r>
      <w:r w:rsidRPr="009F0624">
        <w:rPr>
          <w:rFonts w:cstheme="minorHAnsi"/>
          <w:sz w:val="24"/>
          <w:highlight w:val="yellow"/>
        </w:rPr>
        <w:t>Micro-finance operations and ownership transferred to</w:t>
      </w:r>
    </w:p>
    <w:p w:rsidR="00FE5FC7" w:rsidRPr="00A86896" w:rsidRDefault="00A86896" w:rsidP="00A57CD6">
      <w:pPr>
        <w:spacing w:after="0"/>
        <w:ind w:left="2160" w:firstLine="720"/>
        <w:jc w:val="both"/>
        <w:rPr>
          <w:rFonts w:cstheme="minorHAnsi"/>
          <w:sz w:val="24"/>
        </w:rPr>
      </w:pPr>
      <w:proofErr w:type="gramStart"/>
      <w:r w:rsidRPr="009F0624">
        <w:rPr>
          <w:rFonts w:cstheme="minorHAnsi"/>
          <w:sz w:val="24"/>
          <w:highlight w:val="yellow"/>
        </w:rPr>
        <w:t>selected</w:t>
      </w:r>
      <w:proofErr w:type="gramEnd"/>
      <w:r w:rsidRPr="009F0624">
        <w:rPr>
          <w:rFonts w:cstheme="minorHAnsi"/>
          <w:sz w:val="24"/>
          <w:highlight w:val="yellow"/>
        </w:rPr>
        <w:t xml:space="preserve"> </w:t>
      </w:r>
      <w:r w:rsidR="00A57CD6">
        <w:rPr>
          <w:rFonts w:cstheme="minorHAnsi"/>
          <w:sz w:val="24"/>
          <w:highlight w:val="yellow"/>
        </w:rPr>
        <w:t>f</w:t>
      </w:r>
      <w:r w:rsidRPr="009F0624">
        <w:rPr>
          <w:rFonts w:cstheme="minorHAnsi"/>
          <w:sz w:val="24"/>
          <w:highlight w:val="yellow"/>
        </w:rPr>
        <w:t>inancial intermediary</w:t>
      </w:r>
    </w:p>
    <w:p w:rsidR="00A57CD6" w:rsidRDefault="00A57CD6" w:rsidP="00384FFC">
      <w:pPr>
        <w:spacing w:after="0"/>
        <w:jc w:val="both"/>
        <w:rPr>
          <w:rFonts w:cstheme="minorHAnsi"/>
          <w:sz w:val="24"/>
        </w:rPr>
      </w:pPr>
    </w:p>
    <w:p w:rsidR="00FE5FC7" w:rsidRDefault="009F0624" w:rsidP="00384FFC">
      <w:pPr>
        <w:spacing w:after="0"/>
        <w:jc w:val="both"/>
        <w:rPr>
          <w:rFonts w:cstheme="minorHAnsi"/>
          <w:i/>
          <w:sz w:val="24"/>
        </w:rPr>
      </w:pPr>
      <w:r>
        <w:rPr>
          <w:rFonts w:cstheme="minorHAnsi"/>
          <w:sz w:val="24"/>
        </w:rPr>
        <w:t>[2013</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A57CD6" w:rsidRPr="0037061A" w:rsidRDefault="009F0DA9" w:rsidP="00EA1850">
      <w:pPr>
        <w:pStyle w:val="ListParagraph"/>
        <w:numPr>
          <w:ilvl w:val="0"/>
          <w:numId w:val="5"/>
        </w:numPr>
        <w:spacing w:after="0" w:line="240" w:lineRule="auto"/>
        <w:ind w:left="714" w:hanging="357"/>
        <w:contextualSpacing w:val="0"/>
        <w:jc w:val="both"/>
        <w:rPr>
          <w:rFonts w:cstheme="minorHAnsi"/>
          <w:sz w:val="24"/>
        </w:rPr>
      </w:pPr>
      <w:r w:rsidRPr="0037061A">
        <w:rPr>
          <w:iCs/>
          <w:sz w:val="24"/>
          <w:lang w:val="en-GB"/>
        </w:rPr>
        <w:t>Microfinan</w:t>
      </w:r>
      <w:r w:rsidR="00863C0D">
        <w:rPr>
          <w:iCs/>
          <w:sz w:val="24"/>
          <w:lang w:val="en-GB"/>
        </w:rPr>
        <w:t xml:space="preserve">ce Project Transition strategy </w:t>
      </w:r>
      <w:r w:rsidR="0037061A">
        <w:rPr>
          <w:iCs/>
          <w:sz w:val="24"/>
          <w:lang w:val="en-GB"/>
        </w:rPr>
        <w:t>h</w:t>
      </w:r>
      <w:r w:rsidRPr="0037061A">
        <w:rPr>
          <w:iCs/>
          <w:sz w:val="24"/>
          <w:lang w:val="en-GB"/>
        </w:rPr>
        <w:t xml:space="preserve">as </w:t>
      </w:r>
      <w:r w:rsidR="0037061A">
        <w:rPr>
          <w:iCs/>
          <w:sz w:val="24"/>
          <w:lang w:val="en-GB"/>
        </w:rPr>
        <w:t xml:space="preserve">been </w:t>
      </w:r>
      <w:r w:rsidR="00863C0D">
        <w:rPr>
          <w:iCs/>
          <w:sz w:val="24"/>
          <w:lang w:val="en-GB"/>
        </w:rPr>
        <w:t xml:space="preserve">identified based on consultations with project donors. </w:t>
      </w:r>
      <w:r w:rsidR="0037061A" w:rsidRPr="0037061A">
        <w:rPr>
          <w:iCs/>
          <w:sz w:val="24"/>
          <w:lang w:val="en-GB"/>
        </w:rPr>
        <w:t xml:space="preserve"> </w:t>
      </w: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EA3FC2" w:rsidP="00EA3FC2">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w:t>
      </w:r>
      <w:r w:rsidR="00AA40F7">
        <w:rPr>
          <w:rFonts w:cstheme="minorHAnsi"/>
          <w:b/>
          <w:sz w:val="24"/>
          <w:u w:val="single"/>
        </w:rPr>
        <w:t>1</w:t>
      </w:r>
      <w:r w:rsidRPr="00830F71">
        <w:rPr>
          <w:rFonts w:cstheme="minorHAnsi"/>
          <w:b/>
          <w:sz w:val="24"/>
          <w:u w:val="single"/>
        </w:rPr>
        <w:t xml:space="preserve"> </w:t>
      </w:r>
      <w:r>
        <w:rPr>
          <w:rFonts w:cstheme="minorHAnsi"/>
          <w:b/>
          <w:sz w:val="24"/>
          <w:u w:val="single"/>
        </w:rPr>
        <w:t>Activity</w:t>
      </w:r>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EA3FC2">
      <w:pPr>
        <w:spacing w:after="0"/>
        <w:jc w:val="both"/>
        <w:rPr>
          <w:rFonts w:cstheme="minorHAnsi"/>
          <w:sz w:val="24"/>
        </w:rPr>
      </w:pPr>
      <w:r>
        <w:rPr>
          <w:rFonts w:cstheme="minorHAnsi"/>
          <w:sz w:val="24"/>
        </w:rPr>
        <w:t>Activity ID:</w:t>
      </w:r>
      <w:r w:rsidR="00A86896">
        <w:rPr>
          <w:rFonts w:cstheme="minorHAnsi"/>
          <w:sz w:val="24"/>
        </w:rPr>
        <w:tab/>
      </w:r>
      <w:r w:rsidR="00AA40F7">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7C24C9">
        <w:rPr>
          <w:rFonts w:cstheme="minorHAnsi"/>
          <w:sz w:val="24"/>
        </w:rPr>
        <w:tab/>
        <w:t>Jan 1, 2013</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t>Dec 31, 2013</w:t>
      </w:r>
    </w:p>
    <w:p w:rsidR="007C24C9" w:rsidRDefault="005947B8" w:rsidP="00EA3FC2">
      <w:pPr>
        <w:spacing w:after="0"/>
        <w:jc w:val="both"/>
        <w:rPr>
          <w:rFonts w:cstheme="minorHAnsi"/>
          <w:sz w:val="24"/>
        </w:rPr>
      </w:pPr>
      <w:r>
        <w:rPr>
          <w:rFonts w:cstheme="minorHAnsi"/>
          <w:sz w:val="24"/>
        </w:rPr>
        <w:t>Purpose:</w:t>
      </w:r>
      <w:r w:rsidR="007C24C9">
        <w:rPr>
          <w:rFonts w:cstheme="minorHAnsi"/>
          <w:sz w:val="24"/>
        </w:rPr>
        <w:tab/>
        <w:t xml:space="preserve">Transition of UNDP’s current retail microfinance portfolio in support of a </w:t>
      </w:r>
    </w:p>
    <w:p w:rsidR="005947B8" w:rsidRDefault="00FF59D3" w:rsidP="00EA3FC2">
      <w:pPr>
        <w:spacing w:after="0"/>
        <w:jc w:val="both"/>
        <w:rPr>
          <w:rFonts w:cstheme="minorHAnsi"/>
          <w:sz w:val="24"/>
        </w:rPr>
      </w:pPr>
      <w:r>
        <w:rPr>
          <w:rFonts w:cstheme="minorHAnsi"/>
          <w:sz w:val="24"/>
        </w:rPr>
        <w:tab/>
      </w:r>
      <w:r>
        <w:rPr>
          <w:rFonts w:cstheme="minorHAnsi"/>
          <w:sz w:val="24"/>
        </w:rPr>
        <w:tab/>
      </w:r>
      <w:proofErr w:type="gramStart"/>
      <w:r>
        <w:rPr>
          <w:rFonts w:cstheme="minorHAnsi"/>
          <w:sz w:val="24"/>
        </w:rPr>
        <w:t>c</w:t>
      </w:r>
      <w:r w:rsidR="007C24C9">
        <w:rPr>
          <w:rFonts w:cstheme="minorHAnsi"/>
          <w:sz w:val="24"/>
        </w:rPr>
        <w:t>ompetitive</w:t>
      </w:r>
      <w:proofErr w:type="gramEnd"/>
      <w:r w:rsidR="007C24C9">
        <w:rPr>
          <w:rFonts w:cstheme="minorHAnsi"/>
          <w:sz w:val="24"/>
        </w:rPr>
        <w:t xml:space="preserve"> and effective microfinance sector</w:t>
      </w:r>
    </w:p>
    <w:p w:rsidR="007C24C9" w:rsidRDefault="007C24C9" w:rsidP="00EA3FC2">
      <w:pPr>
        <w:spacing w:after="0"/>
        <w:jc w:val="both"/>
        <w:rPr>
          <w:rFonts w:cstheme="minorHAnsi"/>
          <w:sz w:val="24"/>
        </w:rPr>
      </w:pPr>
    </w:p>
    <w:p w:rsidR="005947B8" w:rsidRPr="004F4764" w:rsidRDefault="005947B8" w:rsidP="00EA3FC2">
      <w:pPr>
        <w:spacing w:after="0"/>
        <w:jc w:val="both"/>
        <w:rPr>
          <w:rFonts w:cstheme="minorHAnsi"/>
          <w:i/>
          <w:sz w:val="24"/>
        </w:rPr>
      </w:pPr>
      <w:r>
        <w:rPr>
          <w:rFonts w:cstheme="minorHAnsi"/>
          <w:sz w:val="24"/>
        </w:rPr>
        <w:t>Description:</w:t>
      </w:r>
      <w:r w:rsidR="004F4764">
        <w:rPr>
          <w:rFonts w:cstheme="minorHAnsi"/>
          <w:sz w:val="24"/>
        </w:rPr>
        <w:t xml:space="preserve"> </w:t>
      </w:r>
      <w:r w:rsidR="004F4764" w:rsidRPr="006465FF">
        <w:rPr>
          <w:rFonts w:cstheme="minorHAnsi"/>
          <w:i/>
          <w:sz w:val="24"/>
          <w:highlight w:val="yellow"/>
        </w:rPr>
        <w:t>describe the big chunks of activities that are to take place under this activity ID during the year. Depending on how detailed the AWP targets are, these could be used here.</w:t>
      </w:r>
    </w:p>
    <w:p w:rsidR="005947B8" w:rsidRDefault="005947B8" w:rsidP="00EA3FC2">
      <w:pPr>
        <w:spacing w:after="0"/>
        <w:jc w:val="both"/>
        <w:rPr>
          <w:rFonts w:cstheme="minorHAnsi"/>
          <w:sz w:val="24"/>
        </w:rPr>
      </w:pPr>
    </w:p>
    <w:p w:rsidR="0037725F" w:rsidRDefault="0037725F" w:rsidP="0037725F">
      <w:pPr>
        <w:spacing w:after="0"/>
        <w:jc w:val="both"/>
        <w:rPr>
          <w:rFonts w:cstheme="minorHAnsi"/>
          <w:sz w:val="24"/>
        </w:rPr>
      </w:pPr>
      <w:r>
        <w:rPr>
          <w:rFonts w:cstheme="minorHAnsi"/>
          <w:sz w:val="24"/>
        </w:rPr>
        <w:t xml:space="preserve">The set of activities </w:t>
      </w:r>
      <w:r w:rsidRPr="006465FF">
        <w:rPr>
          <w:rFonts w:cstheme="minorHAnsi"/>
          <w:sz w:val="24"/>
        </w:rPr>
        <w:t>consist</w:t>
      </w:r>
      <w:r>
        <w:rPr>
          <w:rFonts w:cstheme="minorHAnsi"/>
          <w:sz w:val="24"/>
        </w:rPr>
        <w:t>s</w:t>
      </w:r>
      <w:r w:rsidRPr="006465FF">
        <w:rPr>
          <w:rFonts w:cstheme="minorHAnsi"/>
          <w:sz w:val="24"/>
        </w:rPr>
        <w:t xml:space="preserve"> in transferring the management </w:t>
      </w:r>
      <w:r>
        <w:rPr>
          <w:rFonts w:cstheme="minorHAnsi"/>
          <w:sz w:val="24"/>
        </w:rPr>
        <w:t xml:space="preserve">and ownership </w:t>
      </w:r>
      <w:r w:rsidRPr="006465FF">
        <w:rPr>
          <w:rFonts w:cstheme="minorHAnsi"/>
          <w:sz w:val="24"/>
        </w:rPr>
        <w:t xml:space="preserve">of the funds that UNDP has invested in communities through </w:t>
      </w:r>
      <w:r>
        <w:rPr>
          <w:rFonts w:cstheme="minorHAnsi"/>
          <w:sz w:val="24"/>
        </w:rPr>
        <w:t xml:space="preserve">INGO </w:t>
      </w:r>
      <w:r w:rsidRPr="006465FF">
        <w:rPr>
          <w:rFonts w:cstheme="minorHAnsi"/>
          <w:sz w:val="24"/>
        </w:rPr>
        <w:t xml:space="preserve">institutions like PACT, GRET and Save the Children, to </w:t>
      </w:r>
      <w:r>
        <w:rPr>
          <w:rFonts w:cstheme="minorHAnsi"/>
          <w:sz w:val="24"/>
        </w:rPr>
        <w:t>sustainable</w:t>
      </w:r>
      <w:r w:rsidRPr="006465FF">
        <w:rPr>
          <w:rFonts w:cstheme="minorHAnsi"/>
          <w:sz w:val="24"/>
        </w:rPr>
        <w:t xml:space="preserve"> institution(s) that can promote the interest of further developing inclusive financial services. A transition strategy ha</w:t>
      </w:r>
      <w:r>
        <w:rPr>
          <w:rFonts w:cstheme="minorHAnsi"/>
          <w:sz w:val="24"/>
        </w:rPr>
        <w:t>s</w:t>
      </w:r>
      <w:r w:rsidR="00863C0D">
        <w:rPr>
          <w:rFonts w:cstheme="minorHAnsi"/>
          <w:sz w:val="24"/>
        </w:rPr>
        <w:t xml:space="preserve"> been developed to this effect.</w:t>
      </w:r>
      <w:r w:rsidRPr="006465FF">
        <w:rPr>
          <w:rFonts w:cstheme="minorHAnsi"/>
          <w:sz w:val="24"/>
        </w:rPr>
        <w:t xml:space="preserve"> </w:t>
      </w:r>
    </w:p>
    <w:p w:rsidR="0037725F" w:rsidRDefault="0037725F" w:rsidP="00EA3FC2">
      <w:pPr>
        <w:spacing w:after="0"/>
        <w:jc w:val="both"/>
        <w:rPr>
          <w:rFonts w:cstheme="minorHAnsi"/>
          <w:sz w:val="24"/>
        </w:rPr>
      </w:pPr>
    </w:p>
    <w:p w:rsidR="006C79FB" w:rsidRDefault="006C79FB" w:rsidP="006C79FB">
      <w:pPr>
        <w:pStyle w:val="ListParagraph"/>
        <w:numPr>
          <w:ilvl w:val="0"/>
          <w:numId w:val="5"/>
        </w:numPr>
        <w:spacing w:after="60" w:line="240" w:lineRule="auto"/>
        <w:ind w:left="714" w:hanging="357"/>
        <w:contextualSpacing w:val="0"/>
        <w:jc w:val="both"/>
        <w:rPr>
          <w:iCs/>
          <w:sz w:val="24"/>
          <w:lang w:val="en-GB"/>
        </w:rPr>
      </w:pPr>
      <w:r w:rsidRPr="00AB2E9F">
        <w:rPr>
          <w:iCs/>
          <w:sz w:val="24"/>
          <w:lang w:val="en-GB"/>
        </w:rPr>
        <w:t xml:space="preserve">An international legal consultant was </w:t>
      </w:r>
      <w:r w:rsidR="00913D76">
        <w:rPr>
          <w:iCs/>
          <w:sz w:val="24"/>
          <w:lang w:val="en-GB"/>
        </w:rPr>
        <w:t>continued contracting</w:t>
      </w:r>
      <w:r w:rsidRPr="00AB2E9F">
        <w:rPr>
          <w:iCs/>
          <w:sz w:val="24"/>
          <w:lang w:val="en-GB"/>
        </w:rPr>
        <w:t xml:space="preserve"> to prep</w:t>
      </w:r>
      <w:r w:rsidR="00B977D3">
        <w:rPr>
          <w:iCs/>
          <w:sz w:val="24"/>
          <w:lang w:val="en-GB"/>
        </w:rPr>
        <w:t>are a draft transfer agreement for MFP transition.</w:t>
      </w: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pPr>
        <w:rPr>
          <w:rFonts w:cstheme="minorHAnsi"/>
          <w:sz w:val="24"/>
        </w:rPr>
      </w:pPr>
    </w:p>
    <w:p w:rsidR="00F17F5B" w:rsidRDefault="00F17F5B" w:rsidP="00EA3FC2">
      <w:pPr>
        <w:spacing w:after="0"/>
        <w:jc w:val="both"/>
        <w:rPr>
          <w:rFonts w:cstheme="minorHAnsi"/>
          <w:sz w:val="24"/>
        </w:rPr>
        <w:sectPr w:rsidR="00F17F5B"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175D70" w:rsidRPr="00532ECC" w:rsidTr="00F64E6D">
        <w:trPr>
          <w:cantSplit/>
          <w:trHeight w:val="438"/>
          <w:tblHeader/>
        </w:trPr>
        <w:tc>
          <w:tcPr>
            <w:tcW w:w="1635"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8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6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21"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4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175D70" w:rsidTr="00F64E6D">
        <w:trPr>
          <w:gridAfter w:val="1"/>
          <w:wAfter w:w="1768" w:type="dxa"/>
          <w:cantSplit/>
          <w:trHeight w:val="438"/>
          <w:tblHeader/>
        </w:trPr>
        <w:tc>
          <w:tcPr>
            <w:tcW w:w="1635" w:type="dxa"/>
            <w:vMerge/>
            <w:vAlign w:val="center"/>
          </w:tcPr>
          <w:p w:rsidR="00232E10" w:rsidRDefault="00232E10" w:rsidP="006465FF">
            <w:pPr>
              <w:jc w:val="center"/>
              <w:rPr>
                <w:rFonts w:cstheme="minorHAnsi"/>
                <w:sz w:val="24"/>
              </w:rPr>
            </w:pPr>
          </w:p>
        </w:tc>
        <w:tc>
          <w:tcPr>
            <w:tcW w:w="1806" w:type="dxa"/>
            <w:vMerge/>
            <w:vAlign w:val="center"/>
          </w:tcPr>
          <w:p w:rsidR="00232E10" w:rsidRDefault="00232E10" w:rsidP="006465FF">
            <w:pPr>
              <w:jc w:val="center"/>
              <w:rPr>
                <w:rFonts w:cstheme="minorHAnsi"/>
                <w:sz w:val="24"/>
              </w:rPr>
            </w:pPr>
          </w:p>
        </w:tc>
        <w:tc>
          <w:tcPr>
            <w:tcW w:w="1663" w:type="dxa"/>
            <w:vMerge/>
            <w:vAlign w:val="center"/>
          </w:tcPr>
          <w:p w:rsidR="00232E10" w:rsidRDefault="00232E10" w:rsidP="006465FF">
            <w:pPr>
              <w:jc w:val="center"/>
              <w:rPr>
                <w:rFonts w:cstheme="minorHAnsi"/>
                <w:sz w:val="24"/>
              </w:rPr>
            </w:pPr>
          </w:p>
        </w:tc>
        <w:tc>
          <w:tcPr>
            <w:tcW w:w="3421"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4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175D70" w:rsidRPr="001D4575" w:rsidTr="00F64E6D">
        <w:trPr>
          <w:cantSplit/>
        </w:trPr>
        <w:tc>
          <w:tcPr>
            <w:tcW w:w="163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232E10" w:rsidRPr="007A186B" w:rsidRDefault="00232E10" w:rsidP="006465FF">
            <w:pPr>
              <w:jc w:val="both"/>
              <w:rPr>
                <w:rFonts w:cstheme="minorHAnsi"/>
                <w:i/>
                <w:sz w:val="20"/>
              </w:rPr>
            </w:pPr>
            <w:r w:rsidRPr="007A186B">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B36294" w:rsidRPr="00B36294" w:rsidTr="00863C0D">
        <w:trPr>
          <w:cantSplit/>
        </w:trPr>
        <w:tc>
          <w:tcPr>
            <w:tcW w:w="1635" w:type="dxa"/>
            <w:shd w:val="clear" w:color="auto" w:fill="auto"/>
          </w:tcPr>
          <w:p w:rsidR="00B36294" w:rsidRPr="00913D76" w:rsidRDefault="00913D76" w:rsidP="00913D76">
            <w:pPr>
              <w:jc w:val="both"/>
              <w:rPr>
                <w:rFonts w:cstheme="minorHAnsi"/>
                <w:sz w:val="20"/>
              </w:rPr>
            </w:pPr>
            <w:r>
              <w:rPr>
                <w:rFonts w:cstheme="minorHAnsi"/>
                <w:sz w:val="20"/>
              </w:rPr>
              <w:t>Accepted draft transfer agreement</w:t>
            </w:r>
          </w:p>
        </w:tc>
        <w:tc>
          <w:tcPr>
            <w:tcW w:w="1806" w:type="dxa"/>
            <w:shd w:val="clear" w:color="auto" w:fill="auto"/>
          </w:tcPr>
          <w:p w:rsidR="00D11E07" w:rsidRPr="00913D76" w:rsidRDefault="009713FD" w:rsidP="00913D76">
            <w:pPr>
              <w:jc w:val="both"/>
              <w:rPr>
                <w:rFonts w:cstheme="minorHAnsi"/>
                <w:sz w:val="20"/>
              </w:rPr>
            </w:pPr>
            <w:r w:rsidRPr="00913D76">
              <w:rPr>
                <w:rFonts w:cstheme="minorHAnsi"/>
                <w:sz w:val="20"/>
              </w:rPr>
              <w:t>D</w:t>
            </w:r>
            <w:r w:rsidR="007A186B" w:rsidRPr="00913D76">
              <w:rPr>
                <w:rFonts w:cstheme="minorHAnsi"/>
                <w:sz w:val="20"/>
              </w:rPr>
              <w:t>raft transfer agreement</w:t>
            </w:r>
            <w:r w:rsidR="00913D76">
              <w:rPr>
                <w:rFonts w:cstheme="minorHAnsi"/>
                <w:sz w:val="20"/>
              </w:rPr>
              <w:t xml:space="preserve"> </w:t>
            </w:r>
            <w:r w:rsidR="00D11E07" w:rsidRPr="00913D76">
              <w:rPr>
                <w:rFonts w:cstheme="minorHAnsi"/>
                <w:sz w:val="20"/>
              </w:rPr>
              <w:t>with concise notes</w:t>
            </w:r>
          </w:p>
          <w:p w:rsidR="00D11E07" w:rsidRPr="00913D76" w:rsidRDefault="00D11E07" w:rsidP="00D11E07">
            <w:pPr>
              <w:autoSpaceDE w:val="0"/>
              <w:autoSpaceDN w:val="0"/>
              <w:adjustRightInd w:val="0"/>
              <w:rPr>
                <w:rFonts w:cstheme="minorHAnsi"/>
                <w:sz w:val="20"/>
              </w:rPr>
            </w:pPr>
            <w:r w:rsidRPr="00913D76">
              <w:rPr>
                <w:rFonts w:cstheme="minorHAnsi"/>
                <w:sz w:val="20"/>
              </w:rPr>
              <w:t>and explanations of relevant issues</w:t>
            </w:r>
          </w:p>
          <w:p w:rsidR="00D11E07" w:rsidRPr="00913D76" w:rsidRDefault="00D11E07" w:rsidP="00D11E07">
            <w:pPr>
              <w:autoSpaceDE w:val="0"/>
              <w:autoSpaceDN w:val="0"/>
              <w:adjustRightInd w:val="0"/>
              <w:rPr>
                <w:rFonts w:cstheme="minorHAnsi"/>
                <w:sz w:val="20"/>
              </w:rPr>
            </w:pPr>
            <w:r w:rsidRPr="00913D76">
              <w:rPr>
                <w:rFonts w:cstheme="minorHAnsi"/>
                <w:sz w:val="20"/>
              </w:rPr>
              <w:t>and in a form that is presentable to</w:t>
            </w:r>
          </w:p>
          <w:p w:rsidR="00D11E07" w:rsidRPr="00913D76" w:rsidRDefault="00D11E07" w:rsidP="00D11E07">
            <w:pPr>
              <w:jc w:val="both"/>
              <w:rPr>
                <w:rFonts w:cstheme="minorHAnsi"/>
                <w:sz w:val="20"/>
              </w:rPr>
            </w:pPr>
            <w:proofErr w:type="gramStart"/>
            <w:r w:rsidRPr="00913D76">
              <w:rPr>
                <w:rFonts w:cstheme="minorHAnsi"/>
                <w:sz w:val="20"/>
              </w:rPr>
              <w:t>donors</w:t>
            </w:r>
            <w:proofErr w:type="gramEnd"/>
            <w:r w:rsidRPr="00913D76">
              <w:rPr>
                <w:rFonts w:cstheme="minorHAnsi"/>
                <w:sz w:val="20"/>
              </w:rPr>
              <w:t xml:space="preserve"> and UNDP senior management</w:t>
            </w:r>
            <w:r w:rsidR="00913D76">
              <w:rPr>
                <w:rFonts w:cstheme="minorHAnsi"/>
                <w:sz w:val="20"/>
              </w:rPr>
              <w:t>.</w:t>
            </w:r>
          </w:p>
        </w:tc>
        <w:tc>
          <w:tcPr>
            <w:tcW w:w="1663" w:type="dxa"/>
            <w:shd w:val="clear" w:color="auto" w:fill="auto"/>
          </w:tcPr>
          <w:p w:rsidR="00B36294" w:rsidRPr="00913D76" w:rsidRDefault="00DC6038" w:rsidP="00B36294">
            <w:pPr>
              <w:jc w:val="both"/>
              <w:rPr>
                <w:rFonts w:cstheme="minorHAnsi"/>
                <w:sz w:val="20"/>
              </w:rPr>
            </w:pPr>
            <w:r w:rsidRPr="00913D76">
              <w:rPr>
                <w:rFonts w:cstheme="minorHAnsi"/>
                <w:sz w:val="20"/>
              </w:rPr>
              <w:t>Aug</w:t>
            </w:r>
            <w:r w:rsidR="00F476E7" w:rsidRPr="00913D76">
              <w:rPr>
                <w:rFonts w:cstheme="minorHAnsi"/>
                <w:sz w:val="20"/>
              </w:rPr>
              <w:t xml:space="preserve"> 30,  2013</w:t>
            </w:r>
          </w:p>
        </w:tc>
        <w:tc>
          <w:tcPr>
            <w:tcW w:w="3421" w:type="dxa"/>
            <w:shd w:val="clear" w:color="auto" w:fill="auto"/>
          </w:tcPr>
          <w:p w:rsidR="00DC6038" w:rsidRPr="00913D76" w:rsidRDefault="007A186B" w:rsidP="007A186B">
            <w:pPr>
              <w:jc w:val="both"/>
              <w:rPr>
                <w:rFonts w:cstheme="minorHAnsi"/>
                <w:sz w:val="20"/>
              </w:rPr>
            </w:pPr>
            <w:r w:rsidRPr="00913D76">
              <w:rPr>
                <w:rFonts w:cstheme="minorHAnsi"/>
                <w:sz w:val="20"/>
              </w:rPr>
              <w:t>A</w:t>
            </w:r>
            <w:r w:rsidR="00DC6038" w:rsidRPr="00913D76">
              <w:rPr>
                <w:rFonts w:cstheme="minorHAnsi"/>
                <w:sz w:val="20"/>
              </w:rPr>
              <w:t xml:space="preserve"> draft transfer agreement</w:t>
            </w:r>
            <w:r w:rsidRPr="00913D76">
              <w:rPr>
                <w:rFonts w:cstheme="minorHAnsi"/>
                <w:sz w:val="20"/>
              </w:rPr>
              <w:t xml:space="preserve"> was developed </w:t>
            </w:r>
            <w:r w:rsidR="00DC6038" w:rsidRPr="00913D76">
              <w:rPr>
                <w:rFonts w:cstheme="minorHAnsi"/>
                <w:sz w:val="20"/>
              </w:rPr>
              <w:t>based on the related project documents and agreements; the Microfinance Law dated November 30, 2011; and report of the legal assessment of the UNDP Microfinance Project transition. The draft agreement highlight potential issues in the Myanmar legal context to be clarified and addressed.</w:t>
            </w:r>
          </w:p>
          <w:p w:rsidR="00B36294" w:rsidRPr="00913D76" w:rsidRDefault="00B36294" w:rsidP="00B36294">
            <w:pPr>
              <w:jc w:val="both"/>
              <w:rPr>
                <w:rFonts w:cstheme="minorHAnsi"/>
                <w:sz w:val="20"/>
              </w:rPr>
            </w:pPr>
          </w:p>
        </w:tc>
        <w:tc>
          <w:tcPr>
            <w:tcW w:w="1840" w:type="dxa"/>
            <w:shd w:val="clear" w:color="auto" w:fill="auto"/>
          </w:tcPr>
          <w:p w:rsidR="00B36294" w:rsidRPr="00913D76" w:rsidRDefault="007A186B" w:rsidP="00B36294">
            <w:pPr>
              <w:jc w:val="both"/>
              <w:rPr>
                <w:rFonts w:cstheme="minorHAnsi"/>
                <w:sz w:val="20"/>
              </w:rPr>
            </w:pPr>
            <w:r w:rsidRPr="00913D76">
              <w:rPr>
                <w:rFonts w:cstheme="minorHAnsi"/>
                <w:sz w:val="20"/>
              </w:rPr>
              <w:t>Completed</w:t>
            </w:r>
          </w:p>
        </w:tc>
        <w:tc>
          <w:tcPr>
            <w:tcW w:w="2042" w:type="dxa"/>
            <w:shd w:val="clear" w:color="auto" w:fill="auto"/>
          </w:tcPr>
          <w:p w:rsidR="00B36294" w:rsidRPr="00913D76" w:rsidRDefault="00913D76" w:rsidP="00B36294">
            <w:pPr>
              <w:jc w:val="both"/>
              <w:rPr>
                <w:rFonts w:cstheme="minorHAnsi"/>
                <w:sz w:val="20"/>
              </w:rPr>
            </w:pPr>
            <w:r>
              <w:rPr>
                <w:rFonts w:cstheme="minorHAnsi"/>
                <w:sz w:val="20"/>
              </w:rPr>
              <w:t>US$ 4,9</w:t>
            </w:r>
            <w:r w:rsidR="007A186B" w:rsidRPr="00913D76">
              <w:rPr>
                <w:rFonts w:cstheme="minorHAnsi"/>
                <w:sz w:val="20"/>
              </w:rPr>
              <w:t>50</w:t>
            </w:r>
          </w:p>
        </w:tc>
        <w:tc>
          <w:tcPr>
            <w:tcW w:w="1768" w:type="dxa"/>
            <w:shd w:val="clear" w:color="auto" w:fill="auto"/>
          </w:tcPr>
          <w:p w:rsidR="00B36294" w:rsidRPr="00B36294" w:rsidRDefault="007A186B" w:rsidP="00B36294">
            <w:pPr>
              <w:jc w:val="both"/>
              <w:rPr>
                <w:rFonts w:cstheme="minorHAnsi"/>
                <w:sz w:val="20"/>
              </w:rPr>
            </w:pPr>
            <w:r w:rsidRPr="00913D76">
              <w:rPr>
                <w:rFonts w:cstheme="minorHAnsi"/>
                <w:sz w:val="20"/>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D50F86">
          <w:pgSz w:w="16839" w:h="11907" w:orient="landscape" w:code="9"/>
          <w:pgMar w:top="1361" w:right="1361" w:bottom="1361" w:left="1361" w:header="720" w:footer="720" w:gutter="0"/>
          <w:cols w:space="720"/>
          <w:docGrid w:linePitch="360"/>
        </w:sectPr>
      </w:pPr>
    </w:p>
    <w:p w:rsidR="00232E10" w:rsidRDefault="00232E10" w:rsidP="00232E10">
      <w:pPr>
        <w:spacing w:after="0"/>
        <w:jc w:val="both"/>
        <w:rPr>
          <w:rFonts w:cstheme="minorHAnsi"/>
          <w:sz w:val="24"/>
        </w:rPr>
      </w:pPr>
      <w:r>
        <w:rPr>
          <w:rFonts w:cstheme="minorHAnsi"/>
          <w:sz w:val="24"/>
        </w:rPr>
        <w:lastRenderedPageBreak/>
        <w:t>Activity ID:</w:t>
      </w:r>
      <w:r w:rsidR="00AA40F7">
        <w:rPr>
          <w:rFonts w:cstheme="minorHAnsi"/>
          <w:sz w:val="24"/>
        </w:rPr>
        <w:tab/>
        <w:t>LIFTII-CW &amp; LIFTII-Delta</w:t>
      </w:r>
    </w:p>
    <w:p w:rsidR="004B5E55" w:rsidRDefault="00232E10" w:rsidP="00232E10">
      <w:pPr>
        <w:spacing w:after="0"/>
        <w:jc w:val="both"/>
        <w:rPr>
          <w:rFonts w:cstheme="minorHAnsi"/>
          <w:sz w:val="24"/>
        </w:rPr>
      </w:pPr>
      <w:r>
        <w:rPr>
          <w:rFonts w:cstheme="minorHAnsi"/>
          <w:sz w:val="24"/>
        </w:rPr>
        <w:t>Start date:</w:t>
      </w:r>
      <w:r w:rsidR="004B5E55">
        <w:rPr>
          <w:rFonts w:cstheme="minorHAnsi"/>
          <w:sz w:val="24"/>
        </w:rPr>
        <w:tab/>
        <w:t>Jan 1, 2013</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t>Dec 31, 2013</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Pr>
          <w:rFonts w:cstheme="minorHAnsi"/>
          <w:sz w:val="24"/>
        </w:rPr>
        <w:t xml:space="preserve">Description: </w:t>
      </w:r>
      <w:r w:rsidRPr="004B5E55">
        <w:rPr>
          <w:rFonts w:cstheme="minorHAnsi"/>
          <w:i/>
          <w:sz w:val="24"/>
          <w:highlight w:val="yellow"/>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232E10" w:rsidRDefault="002B5BA7" w:rsidP="00232E10">
      <w:pPr>
        <w:spacing w:after="0"/>
        <w:jc w:val="both"/>
        <w:rPr>
          <w:rFonts w:cstheme="minorHAnsi"/>
          <w:sz w:val="24"/>
        </w:rPr>
      </w:pPr>
      <w:r w:rsidRPr="002B5BA7">
        <w:rPr>
          <w:rFonts w:cstheme="minorHAnsi"/>
          <w:sz w:val="24"/>
        </w:rPr>
        <w:t xml:space="preserve">UNDP Myanmar has implemented its microfinance </w:t>
      </w:r>
      <w:r w:rsidR="008B474C">
        <w:rPr>
          <w:rFonts w:cstheme="minorHAnsi"/>
          <w:sz w:val="24"/>
        </w:rPr>
        <w:t xml:space="preserve">project </w:t>
      </w:r>
      <w:r w:rsidRPr="002B5BA7">
        <w:rPr>
          <w:rFonts w:cstheme="minorHAnsi"/>
          <w:sz w:val="24"/>
        </w:rPr>
        <w:t>under the legal framework of the signed project document.</w:t>
      </w:r>
      <w:r>
        <w:rPr>
          <w:rFonts w:cstheme="minorHAnsi"/>
          <w:sz w:val="24"/>
        </w:rPr>
        <w:t xml:space="preserve"> </w:t>
      </w:r>
      <w:r w:rsidR="002C3EED">
        <w:rPr>
          <w:rFonts w:cstheme="minorHAnsi"/>
          <w:sz w:val="24"/>
        </w:rPr>
        <w:t>This activity is the extension of HDI</w:t>
      </w:r>
      <w:r w:rsidR="00913D76">
        <w:rPr>
          <w:rFonts w:cstheme="minorHAnsi"/>
          <w:sz w:val="24"/>
        </w:rPr>
        <w:t xml:space="preserve"> IV under Microfinance Project </w:t>
      </w:r>
      <w:r w:rsidR="002C3EED">
        <w:rPr>
          <w:rFonts w:cstheme="minorHAnsi"/>
          <w:sz w:val="24"/>
        </w:rPr>
        <w:t xml:space="preserve">which has been conducted under contractual arrangement with Ministry of Co-Operatives through Foreign Economic Relation Department since 1997 </w:t>
      </w:r>
      <w:r w:rsidR="007365C1">
        <w:rPr>
          <w:rFonts w:cstheme="minorHAnsi"/>
          <w:sz w:val="24"/>
        </w:rPr>
        <w:t>during</w:t>
      </w:r>
      <w:r w:rsidR="002C3EED">
        <w:rPr>
          <w:rFonts w:cstheme="minorHAnsi"/>
          <w:sz w:val="24"/>
        </w:rPr>
        <w:t xml:space="preserve"> HDI II implementation period.</w:t>
      </w:r>
    </w:p>
    <w:p w:rsidR="002C3EED" w:rsidRDefault="002C3EED"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However, w</w:t>
      </w:r>
      <w:r w:rsidRPr="002C3EED">
        <w:rPr>
          <w:rFonts w:cstheme="minorHAnsi"/>
          <w:sz w:val="24"/>
        </w:rPr>
        <w: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t>
      </w:r>
      <w:r>
        <w:rPr>
          <w:rFonts w:cstheme="minorHAnsi"/>
          <w:sz w:val="24"/>
        </w:rPr>
        <w:t xml:space="preserve"> Before the MF project transition option become</w:t>
      </w:r>
      <w:r w:rsidR="00A404A1">
        <w:rPr>
          <w:rFonts w:cstheme="minorHAnsi"/>
          <w:sz w:val="24"/>
        </w:rPr>
        <w:t>s</w:t>
      </w:r>
      <w:r>
        <w:rPr>
          <w:rFonts w:cstheme="minorHAnsi"/>
          <w:sz w:val="24"/>
        </w:rPr>
        <w:t xml:space="preserve"> cl</w:t>
      </w:r>
      <w:r w:rsidR="002B5BA7">
        <w:rPr>
          <w:rFonts w:cstheme="minorHAnsi"/>
          <w:sz w:val="24"/>
        </w:rPr>
        <w:t>ear</w:t>
      </w:r>
      <w:r>
        <w:rPr>
          <w:rFonts w:cstheme="minorHAnsi"/>
          <w:sz w:val="24"/>
        </w:rPr>
        <w:t xml:space="preserve">, it </w:t>
      </w:r>
      <w:r w:rsidR="00A404A1">
        <w:rPr>
          <w:rFonts w:cstheme="minorHAnsi"/>
          <w:sz w:val="24"/>
        </w:rPr>
        <w:t xml:space="preserve">is </w:t>
      </w:r>
      <w:r>
        <w:rPr>
          <w:rFonts w:cstheme="minorHAnsi"/>
          <w:sz w:val="24"/>
        </w:rPr>
        <w:t xml:space="preserve">needed to continue providing the </w:t>
      </w:r>
      <w:r w:rsidR="00A404A1">
        <w:rPr>
          <w:rFonts w:cstheme="minorHAnsi"/>
          <w:sz w:val="24"/>
        </w:rPr>
        <w:t>retail micro</w:t>
      </w:r>
      <w:r w:rsidR="007211DF">
        <w:rPr>
          <w:rFonts w:cstheme="minorHAnsi"/>
          <w:sz w:val="24"/>
        </w:rPr>
        <w:t xml:space="preserve"> </w:t>
      </w:r>
      <w:r>
        <w:rPr>
          <w:rFonts w:cstheme="minorHAnsi"/>
          <w:sz w:val="24"/>
        </w:rPr>
        <w:t>financing for uninterrupted and continuous financial services to the target</w:t>
      </w:r>
      <w:r w:rsidR="002B5BA7">
        <w:rPr>
          <w:rFonts w:cstheme="minorHAnsi"/>
          <w:sz w:val="24"/>
        </w:rPr>
        <w:t>ed</w:t>
      </w:r>
      <w:r>
        <w:rPr>
          <w:rFonts w:cstheme="minorHAnsi"/>
          <w:sz w:val="24"/>
        </w:rPr>
        <w:t xml:space="preserve"> community. </w:t>
      </w:r>
    </w:p>
    <w:p w:rsidR="00BF5B10" w:rsidRDefault="00BF5B10" w:rsidP="00811BF1">
      <w:pPr>
        <w:spacing w:after="0"/>
        <w:rPr>
          <w:rFonts w:cstheme="minorHAnsi"/>
          <w:sz w:val="24"/>
        </w:rPr>
      </w:pPr>
    </w:p>
    <w:p w:rsidR="000E5928" w:rsidRDefault="00C4034B" w:rsidP="000E5928">
      <w:pPr>
        <w:spacing w:after="0"/>
        <w:jc w:val="both"/>
        <w:rPr>
          <w:rFonts w:cstheme="minorHAnsi"/>
          <w:sz w:val="24"/>
        </w:rPr>
      </w:pPr>
      <w:r w:rsidRPr="00F64E6D">
        <w:rPr>
          <w:rFonts w:cstheme="minorHAnsi"/>
          <w:sz w:val="24"/>
        </w:rPr>
        <w:t>Retail microfinance is ongoing since 1997 and currently 3 INGOs: Pact, GRET and Save the Children are providing microfinance services under UNDP contractual agreements in 4 regions: Shan, Dry, Delta, and Chin</w:t>
      </w:r>
      <w:r w:rsidR="000E5928">
        <w:rPr>
          <w:rFonts w:cstheme="minorHAnsi"/>
          <w:sz w:val="24"/>
        </w:rPr>
        <w:t xml:space="preserve"> in 30</w:t>
      </w:r>
      <w:r w:rsidR="000E5928" w:rsidRPr="00B11B75">
        <w:rPr>
          <w:rFonts w:cstheme="minorHAnsi"/>
          <w:sz w:val="24"/>
        </w:rPr>
        <w:t xml:space="preserve"> townships covering </w:t>
      </w:r>
      <w:r w:rsidR="00325C7B" w:rsidRPr="00325C7B">
        <w:rPr>
          <w:rFonts w:cstheme="minorHAnsi"/>
          <w:sz w:val="24"/>
        </w:rPr>
        <w:t>379,225</w:t>
      </w:r>
      <w:r w:rsidR="000E5928" w:rsidRPr="00325C7B">
        <w:rPr>
          <w:rFonts w:cstheme="minorHAnsi"/>
          <w:sz w:val="24"/>
        </w:rPr>
        <w:t xml:space="preserve"> active borrowers</w:t>
      </w:r>
      <w:r w:rsidR="00325C7B" w:rsidRPr="00325C7B">
        <w:rPr>
          <w:rFonts w:cstheme="minorHAnsi"/>
          <w:sz w:val="24"/>
        </w:rPr>
        <w:t xml:space="preserve"> in 6275</w:t>
      </w:r>
      <w:r w:rsidR="000E5928" w:rsidRPr="00325C7B">
        <w:rPr>
          <w:rFonts w:cstheme="minorHAnsi"/>
          <w:sz w:val="24"/>
        </w:rPr>
        <w:t xml:space="preserve"> </w:t>
      </w:r>
      <w:r w:rsidR="000E5928" w:rsidRPr="00B11B75">
        <w:rPr>
          <w:rFonts w:cstheme="minorHAnsi"/>
          <w:sz w:val="24"/>
        </w:rPr>
        <w:t xml:space="preserve">villages as of </w:t>
      </w:r>
      <w:r w:rsidR="000E5928">
        <w:rPr>
          <w:rFonts w:cstheme="minorHAnsi"/>
          <w:sz w:val="24"/>
        </w:rPr>
        <w:t>September</w:t>
      </w:r>
      <w:r w:rsidR="000E5928" w:rsidRPr="00B11B75">
        <w:rPr>
          <w:rFonts w:cstheme="minorHAnsi"/>
          <w:sz w:val="24"/>
        </w:rPr>
        <w:t xml:space="preserve"> 2013.</w:t>
      </w:r>
      <w:r w:rsidR="000E5928">
        <w:rPr>
          <w:rFonts w:cstheme="minorHAnsi"/>
          <w:sz w:val="24"/>
        </w:rPr>
        <w:t xml:space="preserve"> </w:t>
      </w:r>
      <w:r w:rsidR="000E5928" w:rsidRPr="00C109B4">
        <w:rPr>
          <w:rFonts w:cstheme="minorHAnsi"/>
          <w:sz w:val="24"/>
        </w:rPr>
        <w:t xml:space="preserve">During the </w:t>
      </w:r>
      <w:r w:rsidR="000E5928">
        <w:rPr>
          <w:rFonts w:cstheme="minorHAnsi"/>
          <w:sz w:val="24"/>
        </w:rPr>
        <w:t>third</w:t>
      </w:r>
      <w:r w:rsidR="000E5928" w:rsidRPr="00C109B4">
        <w:rPr>
          <w:rFonts w:cstheme="minorHAnsi"/>
          <w:sz w:val="24"/>
        </w:rPr>
        <w:t xml:space="preserve"> quarter of 2013, US$ </w:t>
      </w:r>
      <w:r w:rsidR="000E5928">
        <w:rPr>
          <w:rFonts w:cstheme="minorHAnsi"/>
          <w:sz w:val="24"/>
        </w:rPr>
        <w:t>39.6</w:t>
      </w:r>
      <w:r w:rsidR="000E5928" w:rsidRPr="00C109B4">
        <w:rPr>
          <w:rFonts w:cstheme="minorHAnsi"/>
          <w:sz w:val="24"/>
        </w:rPr>
        <w:t xml:space="preserve"> million was disbursed to the MF project</w:t>
      </w:r>
      <w:r w:rsidR="000E5928">
        <w:rPr>
          <w:rFonts w:cstheme="minorHAnsi"/>
          <w:sz w:val="24"/>
        </w:rPr>
        <w:t xml:space="preserve"> members across the 4 regions mentioned above for Agriculture and non-agricultural businesses including SRG wholesale loans and social loans for health care and education.</w:t>
      </w:r>
    </w:p>
    <w:p w:rsidR="000E5928" w:rsidRDefault="000E5928" w:rsidP="000E5928">
      <w:pPr>
        <w:spacing w:after="0"/>
        <w:jc w:val="both"/>
        <w:rPr>
          <w:rFonts w:cstheme="minorHAnsi"/>
          <w:sz w:val="24"/>
        </w:rPr>
      </w:pPr>
    </w:p>
    <w:p w:rsidR="000E5928" w:rsidRDefault="000E5928" w:rsidP="000E5928">
      <w:pPr>
        <w:spacing w:after="0"/>
        <w:jc w:val="both"/>
        <w:rPr>
          <w:rFonts w:cstheme="minorHAnsi"/>
          <w:sz w:val="24"/>
        </w:rPr>
      </w:pPr>
      <w:r>
        <w:rPr>
          <w:rFonts w:cstheme="minorHAnsi"/>
          <w:sz w:val="24"/>
        </w:rPr>
        <w:t xml:space="preserve">Saving and beneficiary welfare services are delivered together with financial services to strengthen clients’ coping stagey in times of emergency. Total accumulated saving as of   September </w:t>
      </w:r>
      <w:r w:rsidRPr="00C109B4">
        <w:rPr>
          <w:rFonts w:cstheme="minorHAnsi"/>
          <w:sz w:val="24"/>
        </w:rPr>
        <w:t xml:space="preserve">30, 2013 was MMK </w:t>
      </w:r>
      <w:r>
        <w:rPr>
          <w:rFonts w:cstheme="minorHAnsi"/>
          <w:sz w:val="24"/>
        </w:rPr>
        <w:t>15,877 million (US$ 16.38 million) from 420,135</w:t>
      </w:r>
      <w:r w:rsidRPr="00C109B4">
        <w:rPr>
          <w:rFonts w:cstheme="minorHAnsi"/>
          <w:sz w:val="24"/>
        </w:rPr>
        <w:t xml:space="preserve"> active clients.</w:t>
      </w:r>
    </w:p>
    <w:p w:rsidR="00C4034B" w:rsidRDefault="00C4034B" w:rsidP="00F64E6D">
      <w:pPr>
        <w:spacing w:after="0"/>
        <w:jc w:val="both"/>
        <w:rPr>
          <w:rFonts w:cstheme="minorHAnsi"/>
          <w:sz w:val="24"/>
        </w:rPr>
      </w:pPr>
      <w:r w:rsidRPr="000E5928">
        <w:rPr>
          <w:rFonts w:cstheme="minorHAnsi"/>
          <w:sz w:val="24"/>
        </w:rPr>
        <w:t>Beneficiary welfare services are delivered together with financial services to strengthen clients’ safety net in times of emergency.</w:t>
      </w:r>
      <w:r w:rsidRPr="00F64E6D">
        <w:rPr>
          <w:rFonts w:cstheme="minorHAnsi"/>
          <w:sz w:val="24"/>
        </w:rPr>
        <w:t xml:space="preserve"> </w:t>
      </w:r>
    </w:p>
    <w:p w:rsidR="002C569A" w:rsidRPr="00F64E6D" w:rsidRDefault="002C569A" w:rsidP="00F64E6D">
      <w:pPr>
        <w:spacing w:after="0"/>
        <w:jc w:val="both"/>
        <w:rPr>
          <w:rFonts w:cstheme="minorHAnsi"/>
          <w:sz w:val="24"/>
        </w:rPr>
      </w:pPr>
    </w:p>
    <w:p w:rsidR="00C4034B" w:rsidRDefault="00C4034B" w:rsidP="00811BF1">
      <w:pPr>
        <w:spacing w:after="0"/>
        <w:rPr>
          <w:rFonts w:cstheme="minorHAnsi"/>
          <w:sz w:val="24"/>
        </w:rPr>
        <w:sectPr w:rsidR="00C4034B" w:rsidSect="00173920">
          <w:pgSz w:w="11907" w:h="16839" w:code="9"/>
          <w:pgMar w:top="1418" w:right="1418" w:bottom="1361" w:left="1418" w:header="720" w:footer="720" w:gutter="0"/>
          <w:cols w:space="720"/>
          <w:docGrid w:linePitch="360"/>
        </w:sectPr>
      </w:pPr>
    </w:p>
    <w:p w:rsidR="00232E10" w:rsidRDefault="00232E10" w:rsidP="00EA3FC2">
      <w:pPr>
        <w:spacing w:after="0"/>
        <w:jc w:val="both"/>
        <w:rPr>
          <w:rFonts w:cstheme="minorHAnsi"/>
          <w:sz w:val="24"/>
        </w:rPr>
      </w:pPr>
    </w:p>
    <w:tbl>
      <w:tblPr>
        <w:tblStyle w:val="TableGrid"/>
        <w:tblW w:w="14249" w:type="dxa"/>
        <w:tblLook w:val="04A0" w:firstRow="1" w:lastRow="0" w:firstColumn="1" w:lastColumn="0" w:noHBand="0" w:noVBand="1"/>
      </w:tblPr>
      <w:tblGrid>
        <w:gridCol w:w="1526"/>
        <w:gridCol w:w="1701"/>
        <w:gridCol w:w="1628"/>
        <w:gridCol w:w="3475"/>
        <w:gridCol w:w="1897"/>
        <w:gridCol w:w="1896"/>
        <w:gridCol w:w="2126"/>
      </w:tblGrid>
      <w:tr w:rsidR="00232E10" w:rsidRPr="00532ECC" w:rsidTr="00EF10DE">
        <w:trPr>
          <w:cantSplit/>
          <w:trHeight w:val="438"/>
          <w:tblHeader/>
        </w:trPr>
        <w:tc>
          <w:tcPr>
            <w:tcW w:w="152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701"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2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75"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97"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1896"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2126"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EF10DE">
        <w:trPr>
          <w:gridAfter w:val="1"/>
          <w:wAfter w:w="2126" w:type="dxa"/>
          <w:cantSplit/>
          <w:trHeight w:val="438"/>
          <w:tblHeader/>
        </w:trPr>
        <w:tc>
          <w:tcPr>
            <w:tcW w:w="1526" w:type="dxa"/>
            <w:vMerge/>
            <w:vAlign w:val="center"/>
          </w:tcPr>
          <w:p w:rsidR="00232E10" w:rsidRDefault="00232E10" w:rsidP="006465FF">
            <w:pPr>
              <w:jc w:val="center"/>
              <w:rPr>
                <w:rFonts w:cstheme="minorHAnsi"/>
                <w:sz w:val="24"/>
              </w:rPr>
            </w:pPr>
          </w:p>
        </w:tc>
        <w:tc>
          <w:tcPr>
            <w:tcW w:w="1701" w:type="dxa"/>
            <w:vMerge/>
            <w:vAlign w:val="center"/>
          </w:tcPr>
          <w:p w:rsidR="00232E10" w:rsidRDefault="00232E10" w:rsidP="006465FF">
            <w:pPr>
              <w:jc w:val="center"/>
              <w:rPr>
                <w:rFonts w:cstheme="minorHAnsi"/>
                <w:sz w:val="24"/>
              </w:rPr>
            </w:pPr>
          </w:p>
        </w:tc>
        <w:tc>
          <w:tcPr>
            <w:tcW w:w="1628" w:type="dxa"/>
            <w:vMerge/>
            <w:vAlign w:val="center"/>
          </w:tcPr>
          <w:p w:rsidR="00232E10" w:rsidRDefault="00232E10" w:rsidP="006465FF">
            <w:pPr>
              <w:jc w:val="center"/>
              <w:rPr>
                <w:rFonts w:cstheme="minorHAnsi"/>
                <w:sz w:val="24"/>
              </w:rPr>
            </w:pPr>
          </w:p>
        </w:tc>
        <w:tc>
          <w:tcPr>
            <w:tcW w:w="3475"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97" w:type="dxa"/>
            <w:vAlign w:val="center"/>
          </w:tcPr>
          <w:p w:rsidR="00232E10" w:rsidRDefault="00232E10" w:rsidP="006465FF">
            <w:pPr>
              <w:jc w:val="center"/>
              <w:rPr>
                <w:rFonts w:cstheme="minorHAnsi"/>
                <w:sz w:val="24"/>
              </w:rPr>
            </w:pPr>
          </w:p>
        </w:tc>
        <w:tc>
          <w:tcPr>
            <w:tcW w:w="1896" w:type="dxa"/>
            <w:vMerge/>
            <w:vAlign w:val="center"/>
          </w:tcPr>
          <w:p w:rsidR="00232E10" w:rsidRDefault="00232E10" w:rsidP="006465FF">
            <w:pPr>
              <w:jc w:val="center"/>
              <w:rPr>
                <w:rFonts w:cstheme="minorHAnsi"/>
                <w:sz w:val="24"/>
              </w:rPr>
            </w:pPr>
          </w:p>
        </w:tc>
      </w:tr>
      <w:tr w:rsidR="00F34D12" w:rsidRPr="001D4575" w:rsidTr="00EF10DE">
        <w:trPr>
          <w:cantSplit/>
        </w:trPr>
        <w:tc>
          <w:tcPr>
            <w:tcW w:w="152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70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28"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7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97"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189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212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FC0FF7" w:rsidRPr="00FC0FF7" w:rsidTr="00EF10DE">
        <w:trPr>
          <w:cantSplit/>
        </w:trPr>
        <w:tc>
          <w:tcPr>
            <w:tcW w:w="1526" w:type="dxa"/>
          </w:tcPr>
          <w:p w:rsidR="00FC0FF7" w:rsidRPr="00FC0FF7" w:rsidRDefault="00FC0FF7" w:rsidP="00FC0FF7">
            <w:pPr>
              <w:jc w:val="both"/>
              <w:rPr>
                <w:rFonts w:cstheme="minorHAnsi"/>
                <w:sz w:val="20"/>
                <w:szCs w:val="20"/>
              </w:rPr>
            </w:pPr>
            <w:r w:rsidRPr="00FC0FF7">
              <w:rPr>
                <w:rFonts w:cstheme="minorHAnsi"/>
                <w:sz w:val="20"/>
                <w:szCs w:val="20"/>
              </w:rPr>
              <w:t>MF Service delivery</w:t>
            </w:r>
          </w:p>
        </w:tc>
        <w:tc>
          <w:tcPr>
            <w:tcW w:w="1701" w:type="dxa"/>
          </w:tcPr>
          <w:p w:rsidR="00FC0FF7" w:rsidRPr="00FC0FF7" w:rsidRDefault="00FC0FF7" w:rsidP="00FC0FF7">
            <w:pPr>
              <w:jc w:val="both"/>
              <w:rPr>
                <w:rFonts w:cstheme="minorHAnsi"/>
                <w:sz w:val="20"/>
                <w:szCs w:val="20"/>
              </w:rPr>
            </w:pPr>
            <w:r w:rsidRPr="00FC0FF7">
              <w:rPr>
                <w:rFonts w:cstheme="minorHAnsi"/>
                <w:sz w:val="20"/>
                <w:szCs w:val="20"/>
              </w:rPr>
              <w:t>Financial Statement;</w:t>
            </w:r>
          </w:p>
          <w:p w:rsidR="00FC0FF7" w:rsidRPr="00FC0FF7" w:rsidRDefault="00FC0FF7" w:rsidP="00FC0FF7">
            <w:pPr>
              <w:jc w:val="both"/>
              <w:rPr>
                <w:rFonts w:cstheme="minorHAnsi"/>
                <w:sz w:val="20"/>
                <w:szCs w:val="20"/>
              </w:rPr>
            </w:pPr>
            <w:r w:rsidRPr="00FC0FF7">
              <w:rPr>
                <w:rFonts w:cstheme="minorHAnsi"/>
                <w:sz w:val="20"/>
                <w:szCs w:val="20"/>
              </w:rPr>
              <w:t>Quarterly Report;</w:t>
            </w:r>
          </w:p>
          <w:p w:rsidR="00FC0FF7" w:rsidRPr="00FC0FF7" w:rsidRDefault="00FC0FF7" w:rsidP="00FC0FF7">
            <w:pPr>
              <w:jc w:val="both"/>
              <w:rPr>
                <w:rFonts w:cstheme="minorHAnsi"/>
                <w:sz w:val="20"/>
                <w:szCs w:val="20"/>
              </w:rPr>
            </w:pPr>
            <w:r w:rsidRPr="00FC0FF7">
              <w:rPr>
                <w:rFonts w:cstheme="minorHAnsi"/>
                <w:sz w:val="20"/>
                <w:szCs w:val="20"/>
              </w:rPr>
              <w:t>MIS reports</w:t>
            </w:r>
          </w:p>
        </w:tc>
        <w:tc>
          <w:tcPr>
            <w:tcW w:w="1628" w:type="dxa"/>
          </w:tcPr>
          <w:p w:rsidR="00FC0FF7" w:rsidRPr="00FC0FF7" w:rsidRDefault="00FC0FF7" w:rsidP="00FC0FF7">
            <w:pPr>
              <w:jc w:val="both"/>
              <w:rPr>
                <w:rFonts w:cstheme="minorHAnsi"/>
                <w:sz w:val="20"/>
                <w:szCs w:val="20"/>
              </w:rPr>
            </w:pPr>
            <w:r w:rsidRPr="00FC0FF7">
              <w:rPr>
                <w:rFonts w:cstheme="minorHAnsi"/>
                <w:sz w:val="20"/>
                <w:szCs w:val="20"/>
              </w:rPr>
              <w:t>According to disbursement plan</w:t>
            </w:r>
            <w:r>
              <w:rPr>
                <w:rFonts w:cstheme="minorHAnsi"/>
                <w:sz w:val="20"/>
                <w:szCs w:val="20"/>
              </w:rPr>
              <w:t>/ AWP</w:t>
            </w:r>
          </w:p>
        </w:tc>
        <w:tc>
          <w:tcPr>
            <w:tcW w:w="3475" w:type="dxa"/>
          </w:tcPr>
          <w:p w:rsidR="00FC0FF7" w:rsidRPr="00FC0FF7" w:rsidRDefault="00FC0FF7" w:rsidP="00FC0FF7">
            <w:pPr>
              <w:jc w:val="both"/>
              <w:rPr>
                <w:rFonts w:cstheme="minorHAnsi"/>
                <w:sz w:val="20"/>
                <w:szCs w:val="20"/>
              </w:rPr>
            </w:pPr>
            <w:r w:rsidRPr="00FC0FF7">
              <w:rPr>
                <w:rFonts w:cstheme="minorHAnsi"/>
                <w:sz w:val="20"/>
                <w:szCs w:val="20"/>
              </w:rPr>
              <w:t>On-going service delivery as per plan</w:t>
            </w:r>
          </w:p>
        </w:tc>
        <w:tc>
          <w:tcPr>
            <w:tcW w:w="1897" w:type="dxa"/>
          </w:tcPr>
          <w:p w:rsidR="00FC0FF7" w:rsidRPr="00FC0FF7" w:rsidRDefault="00FC0FF7" w:rsidP="00FC0FF7">
            <w:pPr>
              <w:jc w:val="both"/>
              <w:rPr>
                <w:rFonts w:cstheme="minorHAnsi"/>
                <w:sz w:val="20"/>
                <w:szCs w:val="20"/>
              </w:rPr>
            </w:pPr>
            <w:r w:rsidRPr="00FC0FF7">
              <w:rPr>
                <w:rFonts w:cstheme="minorHAnsi"/>
                <w:sz w:val="20"/>
                <w:szCs w:val="20"/>
              </w:rPr>
              <w:t>It is mostly completed as per plan. Delivery rate as of September 2013 was 79% to the AWP.</w:t>
            </w:r>
          </w:p>
        </w:tc>
        <w:tc>
          <w:tcPr>
            <w:tcW w:w="1896" w:type="dxa"/>
          </w:tcPr>
          <w:p w:rsidR="00FC0FF7" w:rsidRPr="00FC0FF7" w:rsidRDefault="00FC0FF7" w:rsidP="00FC0FF7">
            <w:pPr>
              <w:jc w:val="both"/>
              <w:rPr>
                <w:rFonts w:cstheme="minorHAnsi"/>
                <w:sz w:val="20"/>
                <w:szCs w:val="20"/>
              </w:rPr>
            </w:pPr>
            <w:r w:rsidRPr="00FC0FF7">
              <w:rPr>
                <w:rFonts w:cstheme="minorHAnsi"/>
                <w:sz w:val="20"/>
                <w:szCs w:val="20"/>
              </w:rPr>
              <w:t xml:space="preserve">According to contractual agreement between UNDP &amp; donors (LIFT &amp; USAID), it covered fund requirement for 2013. </w:t>
            </w:r>
          </w:p>
          <w:p w:rsidR="00FC0FF7" w:rsidRPr="00FC0FF7" w:rsidRDefault="00FC0FF7" w:rsidP="00FC0FF7">
            <w:pPr>
              <w:jc w:val="both"/>
              <w:rPr>
                <w:rFonts w:cstheme="minorHAnsi"/>
                <w:sz w:val="20"/>
                <w:szCs w:val="20"/>
              </w:rPr>
            </w:pPr>
            <w:r w:rsidRPr="00FC0FF7">
              <w:rPr>
                <w:rFonts w:cstheme="minorHAnsi"/>
                <w:sz w:val="20"/>
                <w:szCs w:val="20"/>
              </w:rPr>
              <w:t>No additional funding required.</w:t>
            </w:r>
          </w:p>
        </w:tc>
        <w:tc>
          <w:tcPr>
            <w:tcW w:w="2126" w:type="dxa"/>
          </w:tcPr>
          <w:p w:rsidR="00FC0FF7" w:rsidRPr="00FC0FF7" w:rsidRDefault="00FC0FF7" w:rsidP="00FC0FF7">
            <w:pPr>
              <w:jc w:val="both"/>
              <w:rPr>
                <w:rFonts w:cstheme="minorHAnsi"/>
                <w:sz w:val="20"/>
                <w:szCs w:val="20"/>
              </w:rPr>
            </w:pPr>
            <w:r w:rsidRPr="00FC0FF7">
              <w:rPr>
                <w:rFonts w:cstheme="minorHAnsi"/>
                <w:sz w:val="20"/>
                <w:szCs w:val="20"/>
              </w:rPr>
              <w:t>More than 90% of MF clients are women. Democratic governance practices have been built up with plan for women leadership development.</w:t>
            </w:r>
          </w:p>
        </w:tc>
      </w:tr>
      <w:tr w:rsidR="00C77D0C" w:rsidRPr="00FC0FF7" w:rsidTr="00EF10DE">
        <w:trPr>
          <w:cantSplit/>
        </w:trPr>
        <w:tc>
          <w:tcPr>
            <w:tcW w:w="1526" w:type="dxa"/>
          </w:tcPr>
          <w:p w:rsidR="00C77D0C" w:rsidRPr="00FC0FF7" w:rsidRDefault="00C77D0C" w:rsidP="006465FF">
            <w:pPr>
              <w:jc w:val="both"/>
              <w:rPr>
                <w:rFonts w:cstheme="minorHAnsi"/>
                <w:sz w:val="20"/>
                <w:szCs w:val="20"/>
              </w:rPr>
            </w:pPr>
            <w:r w:rsidRPr="00FC0FF7">
              <w:rPr>
                <w:rFonts w:cstheme="minorHAnsi"/>
                <w:sz w:val="20"/>
                <w:szCs w:val="20"/>
              </w:rPr>
              <w:t>End of project evaluation for SRG-MF Linkage in Shan Zone</w:t>
            </w:r>
          </w:p>
        </w:tc>
        <w:tc>
          <w:tcPr>
            <w:tcW w:w="1701" w:type="dxa"/>
          </w:tcPr>
          <w:p w:rsidR="00C77D0C" w:rsidRPr="00FC0FF7" w:rsidRDefault="00125A03" w:rsidP="00125A03">
            <w:pPr>
              <w:jc w:val="both"/>
              <w:rPr>
                <w:rFonts w:cstheme="minorHAnsi"/>
                <w:sz w:val="20"/>
                <w:szCs w:val="20"/>
              </w:rPr>
            </w:pPr>
            <w:r w:rsidRPr="00FC0FF7">
              <w:rPr>
                <w:rFonts w:cstheme="minorHAnsi"/>
                <w:sz w:val="20"/>
                <w:szCs w:val="20"/>
              </w:rPr>
              <w:t>End of project evaluation</w:t>
            </w:r>
            <w:r>
              <w:rPr>
                <w:rFonts w:cstheme="minorHAnsi"/>
                <w:sz w:val="20"/>
                <w:szCs w:val="20"/>
              </w:rPr>
              <w:t xml:space="preserve"> report</w:t>
            </w:r>
            <w:r w:rsidRPr="00FC0FF7">
              <w:rPr>
                <w:rFonts w:cstheme="minorHAnsi"/>
                <w:sz w:val="20"/>
                <w:szCs w:val="20"/>
              </w:rPr>
              <w:t xml:space="preserve"> for SRG-MF Linkage in Shan Zone </w:t>
            </w:r>
          </w:p>
        </w:tc>
        <w:tc>
          <w:tcPr>
            <w:tcW w:w="1628" w:type="dxa"/>
          </w:tcPr>
          <w:p w:rsidR="00C77D0C" w:rsidRPr="00FC0FF7" w:rsidRDefault="00C77D0C" w:rsidP="006465FF">
            <w:pPr>
              <w:jc w:val="both"/>
              <w:rPr>
                <w:rFonts w:cstheme="minorHAnsi"/>
                <w:sz w:val="20"/>
                <w:szCs w:val="20"/>
              </w:rPr>
            </w:pPr>
            <w:r w:rsidRPr="00FC0FF7">
              <w:rPr>
                <w:rFonts w:cstheme="minorHAnsi"/>
                <w:sz w:val="20"/>
                <w:szCs w:val="20"/>
              </w:rPr>
              <w:t>September 2013</w:t>
            </w:r>
          </w:p>
        </w:tc>
        <w:tc>
          <w:tcPr>
            <w:tcW w:w="3475" w:type="dxa"/>
          </w:tcPr>
          <w:p w:rsidR="00825F32" w:rsidRPr="00FC0FF7" w:rsidRDefault="00825F32" w:rsidP="00825F32">
            <w:pPr>
              <w:jc w:val="both"/>
              <w:rPr>
                <w:rFonts w:cstheme="minorHAnsi"/>
                <w:sz w:val="20"/>
                <w:szCs w:val="20"/>
              </w:rPr>
            </w:pPr>
            <w:r w:rsidRPr="00FC0FF7">
              <w:rPr>
                <w:rFonts w:cstheme="minorHAnsi"/>
                <w:sz w:val="20"/>
                <w:szCs w:val="20"/>
              </w:rPr>
              <w:t xml:space="preserve">Project end evaluation conducted </w:t>
            </w:r>
            <w:r w:rsidR="00FC0FF7" w:rsidRPr="00FC0FF7">
              <w:rPr>
                <w:rFonts w:cstheme="minorHAnsi"/>
                <w:sz w:val="20"/>
                <w:szCs w:val="20"/>
              </w:rPr>
              <w:t>during</w:t>
            </w:r>
            <w:r w:rsidRPr="00FC0FF7">
              <w:rPr>
                <w:rFonts w:cstheme="minorHAnsi"/>
                <w:sz w:val="20"/>
                <w:szCs w:val="20"/>
              </w:rPr>
              <w:t xml:space="preserve"> September 2013 and </w:t>
            </w:r>
            <w:r w:rsidR="00FC0FF7" w:rsidRPr="00FC0FF7">
              <w:rPr>
                <w:rFonts w:cstheme="minorHAnsi"/>
                <w:sz w:val="20"/>
                <w:szCs w:val="20"/>
              </w:rPr>
              <w:t xml:space="preserve">draft report accepted at end of September </w:t>
            </w:r>
            <w:r w:rsidRPr="00FC0FF7">
              <w:rPr>
                <w:rFonts w:cstheme="minorHAnsi"/>
                <w:sz w:val="20"/>
                <w:szCs w:val="20"/>
              </w:rPr>
              <w:t>2013.</w:t>
            </w:r>
          </w:p>
          <w:p w:rsidR="00C77D0C" w:rsidRPr="00FC0FF7" w:rsidRDefault="00825F32" w:rsidP="00825F32">
            <w:pPr>
              <w:jc w:val="both"/>
              <w:rPr>
                <w:rFonts w:cstheme="minorHAnsi"/>
                <w:sz w:val="20"/>
                <w:szCs w:val="20"/>
              </w:rPr>
            </w:pPr>
            <w:r w:rsidRPr="00FC0FF7">
              <w:rPr>
                <w:rFonts w:cstheme="minorHAnsi"/>
                <w:sz w:val="20"/>
                <w:szCs w:val="20"/>
              </w:rPr>
              <w:t xml:space="preserve">This initiation demonstrated Grant and lending model worked side-by-side with continuous monitoring by SRG capacity building team from ICDP. And these wholesale loans </w:t>
            </w:r>
            <w:r w:rsidR="002C569A" w:rsidRPr="00FC0FF7">
              <w:rPr>
                <w:rFonts w:cstheme="minorHAnsi"/>
                <w:sz w:val="20"/>
                <w:szCs w:val="20"/>
              </w:rPr>
              <w:t>raised entrepreneur poor to expa</w:t>
            </w:r>
            <w:r w:rsidRPr="00FC0FF7">
              <w:rPr>
                <w:rFonts w:cstheme="minorHAnsi"/>
                <w:sz w:val="20"/>
                <w:szCs w:val="20"/>
              </w:rPr>
              <w:t>nd their micro businesses unto small businesses.</w:t>
            </w:r>
          </w:p>
        </w:tc>
        <w:tc>
          <w:tcPr>
            <w:tcW w:w="1897" w:type="dxa"/>
          </w:tcPr>
          <w:p w:rsidR="00C77D0C" w:rsidRPr="00FC0FF7" w:rsidRDefault="00125A03" w:rsidP="006465FF">
            <w:pPr>
              <w:jc w:val="both"/>
              <w:rPr>
                <w:rFonts w:cstheme="minorHAnsi"/>
                <w:sz w:val="20"/>
                <w:szCs w:val="20"/>
              </w:rPr>
            </w:pPr>
            <w:r>
              <w:rPr>
                <w:rFonts w:cstheme="minorHAnsi"/>
                <w:sz w:val="20"/>
                <w:szCs w:val="20"/>
              </w:rPr>
              <w:t>Completed on</w:t>
            </w:r>
            <w:r w:rsidR="00825F32" w:rsidRPr="00FC0FF7">
              <w:rPr>
                <w:rFonts w:cstheme="minorHAnsi"/>
                <w:sz w:val="20"/>
                <w:szCs w:val="20"/>
              </w:rPr>
              <w:t xml:space="preserve"> schedule.</w:t>
            </w:r>
          </w:p>
        </w:tc>
        <w:tc>
          <w:tcPr>
            <w:tcW w:w="1896" w:type="dxa"/>
          </w:tcPr>
          <w:p w:rsidR="00C77D0C" w:rsidRPr="00FC0FF7" w:rsidRDefault="00125A03" w:rsidP="006465FF">
            <w:pPr>
              <w:jc w:val="both"/>
              <w:rPr>
                <w:rFonts w:cstheme="minorHAnsi"/>
                <w:sz w:val="20"/>
                <w:szCs w:val="20"/>
              </w:rPr>
            </w:pPr>
            <w:r>
              <w:rPr>
                <w:rFonts w:cstheme="minorHAnsi"/>
                <w:sz w:val="20"/>
                <w:szCs w:val="20"/>
              </w:rPr>
              <w:t>US$ 14,341</w:t>
            </w:r>
          </w:p>
        </w:tc>
        <w:tc>
          <w:tcPr>
            <w:tcW w:w="2126" w:type="dxa"/>
          </w:tcPr>
          <w:p w:rsidR="00C77D0C" w:rsidRPr="00FC0FF7" w:rsidRDefault="00825F32" w:rsidP="006465FF">
            <w:pPr>
              <w:jc w:val="both"/>
              <w:rPr>
                <w:rFonts w:cstheme="minorHAnsi"/>
                <w:sz w:val="20"/>
                <w:szCs w:val="20"/>
              </w:rPr>
            </w:pPr>
            <w:r w:rsidRPr="00FC0FF7">
              <w:rPr>
                <w:rFonts w:cstheme="minorHAnsi"/>
                <w:sz w:val="20"/>
                <w:szCs w:val="20"/>
              </w:rPr>
              <w:t>Women empowerment</w:t>
            </w:r>
          </w:p>
        </w:tc>
      </w:tr>
    </w:tbl>
    <w:p w:rsidR="00232E10" w:rsidRPr="00830F71" w:rsidRDefault="00232E10" w:rsidP="00EA3FC2">
      <w:pPr>
        <w:spacing w:after="0"/>
        <w:jc w:val="both"/>
        <w:rPr>
          <w:rFonts w:cstheme="minorHAnsi"/>
          <w:sz w:val="24"/>
        </w:rPr>
      </w:pPr>
    </w:p>
    <w:sectPr w:rsidR="00232E10" w:rsidRPr="00830F71" w:rsidSect="00D50F86">
      <w:pgSz w:w="16839" w:h="11907" w:orient="landscape"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F7" w:rsidRDefault="00E154F7" w:rsidP="00371DEF">
      <w:pPr>
        <w:spacing w:after="0" w:line="240" w:lineRule="auto"/>
      </w:pPr>
      <w:r>
        <w:separator/>
      </w:r>
    </w:p>
  </w:endnote>
  <w:endnote w:type="continuationSeparator" w:id="0">
    <w:p w:rsidR="00E154F7" w:rsidRDefault="00E154F7"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2588"/>
      <w:docPartObj>
        <w:docPartGallery w:val="Page Numbers (Bottom of Page)"/>
        <w:docPartUnique/>
      </w:docPartObj>
    </w:sdtPr>
    <w:sdtEndPr/>
    <w:sdtContent>
      <w:sdt>
        <w:sdtPr>
          <w:id w:val="1017662530"/>
          <w:docPartObj>
            <w:docPartGallery w:val="Page Numbers (Top of Page)"/>
            <w:docPartUnique/>
          </w:docPartObj>
        </w:sdtPr>
        <w:sdtEndPr/>
        <w:sdtContent>
          <w:p w:rsidR="006465FF" w:rsidRDefault="00646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510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5103">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F7" w:rsidRDefault="00E154F7" w:rsidP="00371DEF">
      <w:pPr>
        <w:spacing w:after="0" w:line="240" w:lineRule="auto"/>
      </w:pPr>
      <w:r>
        <w:separator/>
      </w:r>
    </w:p>
  </w:footnote>
  <w:footnote w:type="continuationSeparator" w:id="0">
    <w:p w:rsidR="00E154F7" w:rsidRDefault="00E154F7"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15103"/>
    <w:rsid w:val="00023F14"/>
    <w:rsid w:val="0002661A"/>
    <w:rsid w:val="0005021B"/>
    <w:rsid w:val="000A1099"/>
    <w:rsid w:val="000C380A"/>
    <w:rsid w:val="000E5928"/>
    <w:rsid w:val="00100D3C"/>
    <w:rsid w:val="00125A03"/>
    <w:rsid w:val="00133972"/>
    <w:rsid w:val="001519EF"/>
    <w:rsid w:val="00173920"/>
    <w:rsid w:val="00175D70"/>
    <w:rsid w:val="00197DC1"/>
    <w:rsid w:val="001B6A6B"/>
    <w:rsid w:val="001D4575"/>
    <w:rsid w:val="00223EC5"/>
    <w:rsid w:val="00232E10"/>
    <w:rsid w:val="00272D77"/>
    <w:rsid w:val="002931C5"/>
    <w:rsid w:val="002A2096"/>
    <w:rsid w:val="002B5BA7"/>
    <w:rsid w:val="002C3EED"/>
    <w:rsid w:val="002C5036"/>
    <w:rsid w:val="002C569A"/>
    <w:rsid w:val="002C7991"/>
    <w:rsid w:val="002D47E8"/>
    <w:rsid w:val="002F330E"/>
    <w:rsid w:val="002F78CF"/>
    <w:rsid w:val="00300E19"/>
    <w:rsid w:val="00301B16"/>
    <w:rsid w:val="00301C79"/>
    <w:rsid w:val="00325C7B"/>
    <w:rsid w:val="0033739B"/>
    <w:rsid w:val="0035411F"/>
    <w:rsid w:val="0037061A"/>
    <w:rsid w:val="00371DEF"/>
    <w:rsid w:val="0037725F"/>
    <w:rsid w:val="00384FFC"/>
    <w:rsid w:val="00394DEC"/>
    <w:rsid w:val="0039572E"/>
    <w:rsid w:val="003C0E1F"/>
    <w:rsid w:val="003D20D8"/>
    <w:rsid w:val="003F3962"/>
    <w:rsid w:val="004252EF"/>
    <w:rsid w:val="00437C5D"/>
    <w:rsid w:val="00475A80"/>
    <w:rsid w:val="004863E1"/>
    <w:rsid w:val="00497F95"/>
    <w:rsid w:val="004B5E55"/>
    <w:rsid w:val="004D419B"/>
    <w:rsid w:val="004E515B"/>
    <w:rsid w:val="004F4764"/>
    <w:rsid w:val="005023F1"/>
    <w:rsid w:val="005037BC"/>
    <w:rsid w:val="00523E87"/>
    <w:rsid w:val="005325C9"/>
    <w:rsid w:val="00532ECC"/>
    <w:rsid w:val="00557BEB"/>
    <w:rsid w:val="00571C6C"/>
    <w:rsid w:val="005740CD"/>
    <w:rsid w:val="00577204"/>
    <w:rsid w:val="00587C8B"/>
    <w:rsid w:val="00594313"/>
    <w:rsid w:val="005947B8"/>
    <w:rsid w:val="005C2599"/>
    <w:rsid w:val="005D1F87"/>
    <w:rsid w:val="005E01B0"/>
    <w:rsid w:val="005E36DF"/>
    <w:rsid w:val="005E4ACF"/>
    <w:rsid w:val="005E6061"/>
    <w:rsid w:val="005E6D56"/>
    <w:rsid w:val="006125A6"/>
    <w:rsid w:val="0061688E"/>
    <w:rsid w:val="006171A3"/>
    <w:rsid w:val="006326EA"/>
    <w:rsid w:val="0064054F"/>
    <w:rsid w:val="00642230"/>
    <w:rsid w:val="00645C87"/>
    <w:rsid w:val="006465FF"/>
    <w:rsid w:val="00686237"/>
    <w:rsid w:val="006C375A"/>
    <w:rsid w:val="006C78FB"/>
    <w:rsid w:val="006C79FB"/>
    <w:rsid w:val="007159B9"/>
    <w:rsid w:val="007211DF"/>
    <w:rsid w:val="0072159C"/>
    <w:rsid w:val="00723A41"/>
    <w:rsid w:val="0073033B"/>
    <w:rsid w:val="00732CF4"/>
    <w:rsid w:val="007365C1"/>
    <w:rsid w:val="00764397"/>
    <w:rsid w:val="00773E1F"/>
    <w:rsid w:val="007A186B"/>
    <w:rsid w:val="007B16A3"/>
    <w:rsid w:val="007C24C9"/>
    <w:rsid w:val="007D1F30"/>
    <w:rsid w:val="007E14A3"/>
    <w:rsid w:val="007E3D83"/>
    <w:rsid w:val="00811BF1"/>
    <w:rsid w:val="00825F32"/>
    <w:rsid w:val="0083015C"/>
    <w:rsid w:val="00830F71"/>
    <w:rsid w:val="00843784"/>
    <w:rsid w:val="00855A9C"/>
    <w:rsid w:val="0086085D"/>
    <w:rsid w:val="00863C0D"/>
    <w:rsid w:val="008A7D29"/>
    <w:rsid w:val="008B474C"/>
    <w:rsid w:val="008D73A2"/>
    <w:rsid w:val="008E7561"/>
    <w:rsid w:val="0090452B"/>
    <w:rsid w:val="00911E0C"/>
    <w:rsid w:val="009124CC"/>
    <w:rsid w:val="00913D76"/>
    <w:rsid w:val="00915563"/>
    <w:rsid w:val="00915ED4"/>
    <w:rsid w:val="00953ED1"/>
    <w:rsid w:val="009713FD"/>
    <w:rsid w:val="00993466"/>
    <w:rsid w:val="009B4106"/>
    <w:rsid w:val="009E284D"/>
    <w:rsid w:val="009F0624"/>
    <w:rsid w:val="009F0DA9"/>
    <w:rsid w:val="00A30CD9"/>
    <w:rsid w:val="00A404A1"/>
    <w:rsid w:val="00A57CD6"/>
    <w:rsid w:val="00A7154D"/>
    <w:rsid w:val="00A86896"/>
    <w:rsid w:val="00AA40F7"/>
    <w:rsid w:val="00AB2E9F"/>
    <w:rsid w:val="00AB56EE"/>
    <w:rsid w:val="00AE3A5A"/>
    <w:rsid w:val="00B20E4A"/>
    <w:rsid w:val="00B27D29"/>
    <w:rsid w:val="00B312A9"/>
    <w:rsid w:val="00B32236"/>
    <w:rsid w:val="00B36294"/>
    <w:rsid w:val="00B42DD5"/>
    <w:rsid w:val="00B50D12"/>
    <w:rsid w:val="00B75733"/>
    <w:rsid w:val="00B859F0"/>
    <w:rsid w:val="00B85BA4"/>
    <w:rsid w:val="00B9445A"/>
    <w:rsid w:val="00B977D3"/>
    <w:rsid w:val="00BB780F"/>
    <w:rsid w:val="00BF3BB7"/>
    <w:rsid w:val="00BF5B10"/>
    <w:rsid w:val="00C4034B"/>
    <w:rsid w:val="00C77D0C"/>
    <w:rsid w:val="00C82268"/>
    <w:rsid w:val="00C90ACB"/>
    <w:rsid w:val="00CA3395"/>
    <w:rsid w:val="00CB0260"/>
    <w:rsid w:val="00CB0A6D"/>
    <w:rsid w:val="00CC29A4"/>
    <w:rsid w:val="00CD0912"/>
    <w:rsid w:val="00D076DD"/>
    <w:rsid w:val="00D11E07"/>
    <w:rsid w:val="00D4592B"/>
    <w:rsid w:val="00D50F86"/>
    <w:rsid w:val="00D5259B"/>
    <w:rsid w:val="00D63FC2"/>
    <w:rsid w:val="00DA2E12"/>
    <w:rsid w:val="00DB12C4"/>
    <w:rsid w:val="00DC6038"/>
    <w:rsid w:val="00DF495B"/>
    <w:rsid w:val="00E10716"/>
    <w:rsid w:val="00E154F7"/>
    <w:rsid w:val="00E17C24"/>
    <w:rsid w:val="00E32698"/>
    <w:rsid w:val="00E36783"/>
    <w:rsid w:val="00E40095"/>
    <w:rsid w:val="00E531BA"/>
    <w:rsid w:val="00E612B2"/>
    <w:rsid w:val="00E81DF7"/>
    <w:rsid w:val="00EA1739"/>
    <w:rsid w:val="00EA3FC2"/>
    <w:rsid w:val="00EB680C"/>
    <w:rsid w:val="00EF10DE"/>
    <w:rsid w:val="00F17F5B"/>
    <w:rsid w:val="00F306A1"/>
    <w:rsid w:val="00F34D12"/>
    <w:rsid w:val="00F476E7"/>
    <w:rsid w:val="00F64E6D"/>
    <w:rsid w:val="00F67821"/>
    <w:rsid w:val="00F67830"/>
    <w:rsid w:val="00F86494"/>
    <w:rsid w:val="00FB13DF"/>
    <w:rsid w:val="00FC0634"/>
    <w:rsid w:val="00FC0FF7"/>
    <w:rsid w:val="00FC6939"/>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C404A-5D2E-48B8-963B-3686B1FF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ATLASPDC-4-35009</_dlc_DocId>
    <_dlc_DocIdUrl xmlns="f1161f5b-24a3-4c2d-bc81-44cb9325e8ee">
      <Url>https://info.undp.org/docs/pdc/_layouts/DocIdRedir.aspx?ID=ATLASPDC-4-35009</Url>
      <Description>ATLASPDC-4-35009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15A1600-20CE-4B41-AFFC-C916A05ABCFA}"/>
</file>

<file path=customXml/itemProps2.xml><?xml version="1.0" encoding="utf-8"?>
<ds:datastoreItem xmlns:ds="http://schemas.openxmlformats.org/officeDocument/2006/customXml" ds:itemID="{99A2E488-250F-42BE-81FA-CC25FB3B5246}"/>
</file>

<file path=customXml/itemProps3.xml><?xml version="1.0" encoding="utf-8"?>
<ds:datastoreItem xmlns:ds="http://schemas.openxmlformats.org/officeDocument/2006/customXml" ds:itemID="{619AB5F5-9122-4CFF-BFAB-6F78092CE718}"/>
</file>

<file path=customXml/itemProps4.xml><?xml version="1.0" encoding="utf-8"?>
<ds:datastoreItem xmlns:ds="http://schemas.openxmlformats.org/officeDocument/2006/customXml" ds:itemID="{4B1FC8B3-8753-4348-9C6E-1416BD8708AE}"/>
</file>

<file path=customXml/itemProps5.xml><?xml version="1.0" encoding="utf-8"?>
<ds:datastoreItem xmlns:ds="http://schemas.openxmlformats.org/officeDocument/2006/customXml" ds:itemID="{9E453A0B-6B28-4DD9-9C94-3C2F7F9083E8}"/>
</file>

<file path=customXml/itemProps6.xml><?xml version="1.0" encoding="utf-8"?>
<ds:datastoreItem xmlns:ds="http://schemas.openxmlformats.org/officeDocument/2006/customXml" ds:itemID="{21F92FF6-DD79-4E66-89C6-45CBE6C99F42}"/>
</file>

<file path=docProps/app.xml><?xml version="1.0" encoding="utf-8"?>
<Properties xmlns="http://schemas.openxmlformats.org/officeDocument/2006/extended-properties" xmlns:vt="http://schemas.openxmlformats.org/officeDocument/2006/docPropsVTypes">
  <Template>Normal.dotm</Template>
  <TotalTime>143</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QPR Q3</dc:title>
  <dc:subject/>
  <dc:creator>khin.may.shin</dc:creator>
  <cp:lastModifiedBy>Khin May Shin</cp:lastModifiedBy>
  <cp:revision>11</cp:revision>
  <cp:lastPrinted>2014-01-17T06:58:00Z</cp:lastPrinted>
  <dcterms:created xsi:type="dcterms:W3CDTF">2014-06-13T11:46:00Z</dcterms:created>
  <dcterms:modified xsi:type="dcterms:W3CDTF">2014-06-20T08:01:00Z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77c6e931-6453-4298-94df-ff914f239a88</vt:lpwstr>
  </property>
  <property fmtid="{D5CDD505-2E9C-101B-9397-08002B2CF9AE}" pid="18" name="URL">
    <vt:lpwstr/>
  </property>
  <property fmtid="{D5CDD505-2E9C-101B-9397-08002B2CF9AE}" pid="19" name="DocumentSetDescription">
    <vt:lpwstr/>
  </property>
</Properties>
</file>